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160" w:lineRule="exact"/>
        <w:jc w:val="left"/>
        <w:rPr>
          <w:rFonts w:ascii="宋体" w:cs="宋体"/>
          <w:sz w:val="15"/>
          <w:szCs w:val="15"/>
          <w:shd w:val="clear" w:color="050000" w:fill="auto"/>
        </w:rPr>
      </w:pPr>
      <w:r>
        <w:rPr>
          <w:rFonts w:hint="eastAsia" w:ascii="宋体" w:hAnsi="宋体" w:cs="宋体"/>
          <w:b/>
          <w:sz w:val="15"/>
          <w:szCs w:val="15"/>
          <w:shd w:val="clear" w:color="050000" w:fill="auto"/>
        </w:rPr>
        <w:t>会计发展的三个阶段</w:t>
      </w:r>
      <w:r>
        <w:rPr>
          <w:rFonts w:hint="eastAsia" w:ascii="宋体" w:hAnsi="宋体" w:cs="宋体"/>
          <w:sz w:val="15"/>
          <w:szCs w:val="15"/>
          <w:shd w:val="clear" w:color="050000" w:fill="auto"/>
        </w:rPr>
        <w:t>；古代会计、近代会计、现代会计</w:t>
      </w:r>
    </w:p>
    <w:p>
      <w:pPr>
        <w:spacing w:line="160" w:lineRule="exact"/>
        <w:jc w:val="left"/>
        <w:rPr>
          <w:rFonts w:ascii="宋体" w:cs="宋体"/>
          <w:sz w:val="15"/>
          <w:szCs w:val="15"/>
          <w:shd w:val="clear" w:color="050000" w:fill="auto"/>
        </w:rPr>
      </w:pPr>
      <w:r>
        <w:rPr>
          <w:rFonts w:hint="eastAsia" w:ascii="宋体" w:hAnsi="宋体" w:cs="宋体"/>
          <w:b/>
          <w:bCs/>
          <w:sz w:val="15"/>
          <w:szCs w:val="15"/>
          <w:shd w:val="clear" w:color="050000" w:fill="auto"/>
        </w:rPr>
        <w:t>现代会计形成有着三个重要标志：</w:t>
      </w:r>
      <w:r>
        <w:rPr>
          <w:rFonts w:hint="eastAsia" w:ascii="宋体" w:hAnsi="宋体" w:cs="宋体"/>
          <w:sz w:val="15"/>
          <w:szCs w:val="15"/>
          <w:shd w:val="clear" w:color="050000" w:fill="auto"/>
        </w:rPr>
        <w:t>会计工艺的现代化；企业会计形成两个重要分支；会计边界不断变化，职能日益扩大。</w:t>
      </w:r>
    </w:p>
    <w:p>
      <w:pPr>
        <w:spacing w:line="160" w:lineRule="exact"/>
        <w:jc w:val="left"/>
        <w:rPr>
          <w:rFonts w:ascii="宋体" w:cs="宋体"/>
          <w:sz w:val="15"/>
          <w:szCs w:val="15"/>
          <w:shd w:val="clear" w:color="050000" w:fill="auto"/>
        </w:rPr>
      </w:pPr>
      <w:r>
        <w:rPr>
          <w:rFonts w:hint="eastAsia" w:ascii="宋体" w:hAnsi="宋体" w:cs="宋体"/>
          <w:b/>
          <w:sz w:val="15"/>
          <w:szCs w:val="15"/>
          <w:shd w:val="clear" w:color="050000" w:fill="auto"/>
        </w:rPr>
        <w:t>财务会计；</w:t>
      </w:r>
      <w:r>
        <w:rPr>
          <w:rFonts w:hint="eastAsia" w:ascii="宋体" w:hAnsi="宋体" w:cs="宋体"/>
          <w:sz w:val="15"/>
          <w:szCs w:val="15"/>
          <w:shd w:val="clear" w:color="050000" w:fill="auto"/>
        </w:rPr>
        <w:t>通过对企业已经完成的资金运动全面系统的核算与监督，以为外部与企业有经济利害关系的投资人、债权人和政府有关部门提供企业的财务状况与盈利能力等经济信息为主要目标而进行的经济管理活动，因此又称‘外部报告会计’。</w:t>
      </w:r>
    </w:p>
    <w:p>
      <w:pPr>
        <w:spacing w:line="160" w:lineRule="exact"/>
        <w:jc w:val="left"/>
        <w:rPr>
          <w:rFonts w:ascii="宋体" w:cs="宋体"/>
          <w:sz w:val="15"/>
          <w:szCs w:val="15"/>
          <w:shd w:val="clear" w:color="050000" w:fill="auto"/>
        </w:rPr>
      </w:pPr>
      <w:r>
        <w:rPr>
          <w:rFonts w:hint="eastAsia" w:ascii="宋体" w:hAnsi="宋体" w:cs="宋体"/>
          <w:b/>
          <w:sz w:val="15"/>
          <w:szCs w:val="15"/>
          <w:shd w:val="clear" w:color="050000" w:fill="auto"/>
        </w:rPr>
        <w:t>管理会计</w:t>
      </w:r>
      <w:r>
        <w:rPr>
          <w:rFonts w:hint="eastAsia" w:ascii="宋体" w:hAnsi="宋体" w:cs="宋体"/>
          <w:sz w:val="15"/>
          <w:szCs w:val="15"/>
          <w:shd w:val="clear" w:color="050000" w:fill="auto"/>
        </w:rPr>
        <w:t>；则是以企业现在和未来的的资金运动为对象，以提高经济效益为目标，为企业内部管理者提供经营管理决策的科学依据为目标而进行的经济管理活动，因此又称‘内部报告会计’。</w:t>
      </w:r>
    </w:p>
    <w:p>
      <w:pPr>
        <w:spacing w:line="160" w:lineRule="exact"/>
        <w:jc w:val="left"/>
        <w:rPr>
          <w:rFonts w:ascii="宋体" w:cs="宋体"/>
          <w:sz w:val="15"/>
          <w:szCs w:val="15"/>
          <w:shd w:val="clear" w:color="050000" w:fill="auto"/>
        </w:rPr>
      </w:pPr>
      <w:r>
        <w:rPr>
          <w:rFonts w:hint="eastAsia" w:ascii="宋体" w:hAnsi="宋体" w:cs="宋体"/>
          <w:b/>
          <w:sz w:val="15"/>
          <w:szCs w:val="15"/>
          <w:shd w:val="clear" w:color="050000" w:fill="auto"/>
        </w:rPr>
        <w:t>会计假设</w:t>
      </w:r>
      <w:r>
        <w:rPr>
          <w:rFonts w:hint="eastAsia" w:ascii="宋体" w:hAnsi="宋体" w:cs="宋体"/>
          <w:sz w:val="15"/>
          <w:szCs w:val="15"/>
          <w:shd w:val="clear" w:color="050000" w:fill="auto"/>
        </w:rPr>
        <w:t>；又称‘会计假定’或‘环境假设’。它是指会计人员面对变化不定的社会环境作出的合理推论，是会计核算的提前条件。</w:t>
      </w:r>
    </w:p>
    <w:p>
      <w:pPr>
        <w:spacing w:line="160" w:lineRule="exact"/>
        <w:jc w:val="left"/>
        <w:rPr>
          <w:rFonts w:ascii="宋体" w:cs="宋体"/>
          <w:sz w:val="15"/>
          <w:szCs w:val="15"/>
          <w:shd w:val="clear" w:color="050000" w:fill="auto"/>
        </w:rPr>
      </w:pPr>
      <w:r>
        <w:rPr>
          <w:rFonts w:hint="eastAsia" w:ascii="宋体" w:hAnsi="宋体" w:cs="宋体"/>
          <w:b/>
          <w:sz w:val="15"/>
          <w:szCs w:val="15"/>
          <w:shd w:val="clear" w:color="050000" w:fill="auto"/>
        </w:rPr>
        <w:t>会计概念</w:t>
      </w:r>
      <w:r>
        <w:rPr>
          <w:rFonts w:hint="eastAsia" w:ascii="宋体" w:hAnsi="宋体" w:cs="宋体"/>
          <w:sz w:val="15"/>
          <w:szCs w:val="15"/>
          <w:shd w:val="clear" w:color="050000" w:fill="auto"/>
        </w:rPr>
        <w:t>；它是对会计基本要素和会计核算的经济业务所下的定义，也是对广泛的财务会计内容的基本归类。</w:t>
      </w:r>
    </w:p>
    <w:p>
      <w:pPr>
        <w:spacing w:line="160" w:lineRule="exact"/>
        <w:jc w:val="left"/>
        <w:rPr>
          <w:rFonts w:ascii="宋体" w:cs="宋体"/>
          <w:sz w:val="15"/>
          <w:szCs w:val="15"/>
          <w:shd w:val="clear" w:color="050000" w:fill="auto"/>
        </w:rPr>
      </w:pPr>
      <w:r>
        <w:rPr>
          <w:rFonts w:hint="eastAsia" w:ascii="宋体" w:hAnsi="宋体" w:cs="宋体"/>
          <w:b/>
          <w:sz w:val="15"/>
          <w:szCs w:val="15"/>
          <w:shd w:val="clear" w:color="050000" w:fill="auto"/>
        </w:rPr>
        <w:t>会计原则</w:t>
      </w:r>
      <w:r>
        <w:rPr>
          <w:rFonts w:hint="eastAsia" w:ascii="宋体" w:hAnsi="宋体" w:cs="宋体"/>
          <w:sz w:val="15"/>
          <w:szCs w:val="15"/>
          <w:shd w:val="clear" w:color="050000" w:fill="auto"/>
        </w:rPr>
        <w:t>；又称‘会计准则’。它是建立在会计目标、会计假设及会计概念等会计基础观念之上具体确认和计量会计事项所应当依据的概念和规则。</w:t>
      </w:r>
    </w:p>
    <w:p>
      <w:pPr>
        <w:spacing w:line="160" w:lineRule="exact"/>
        <w:jc w:val="left"/>
        <w:rPr>
          <w:rFonts w:ascii="宋体" w:cs="宋体"/>
          <w:sz w:val="15"/>
          <w:szCs w:val="15"/>
          <w:shd w:val="clear" w:color="050000" w:fill="auto"/>
        </w:rPr>
      </w:pPr>
      <w:r>
        <w:rPr>
          <w:rFonts w:hint="eastAsia" w:ascii="宋体" w:hAnsi="宋体" w:cs="宋体"/>
          <w:sz w:val="15"/>
          <w:szCs w:val="15"/>
          <w:shd w:val="clear" w:color="050000" w:fill="auto"/>
        </w:rPr>
        <w:t>会计方法是用来反映和监督会计对象，实现会计目标的手段</w:t>
      </w:r>
      <w:r>
        <w:rPr>
          <w:rFonts w:ascii="宋体" w:hAnsi="宋体" w:cs="宋体"/>
          <w:sz w:val="15"/>
          <w:szCs w:val="15"/>
          <w:shd w:val="clear" w:color="050000" w:fill="auto"/>
        </w:rPr>
        <w:t xml:space="preserve"> </w:t>
      </w:r>
    </w:p>
    <w:p>
      <w:pPr>
        <w:spacing w:line="160" w:lineRule="exact"/>
        <w:jc w:val="left"/>
        <w:rPr>
          <w:rFonts w:ascii="宋体" w:cs="宋体"/>
          <w:sz w:val="15"/>
          <w:szCs w:val="15"/>
          <w:shd w:val="clear" w:color="050000" w:fill="auto"/>
        </w:rPr>
      </w:pPr>
      <w:r>
        <w:rPr>
          <w:rFonts w:hint="eastAsia" w:ascii="宋体" w:hAnsi="宋体" w:cs="宋体"/>
          <w:b/>
          <w:sz w:val="15"/>
          <w:szCs w:val="15"/>
          <w:shd w:val="clear" w:color="050000" w:fill="auto"/>
        </w:rPr>
        <w:t>基础方法</w:t>
      </w:r>
      <w:r>
        <w:rPr>
          <w:rFonts w:hint="eastAsia" w:ascii="宋体" w:hAnsi="宋体" w:cs="宋体"/>
          <w:sz w:val="15"/>
          <w:szCs w:val="15"/>
          <w:shd w:val="clear" w:color="050000" w:fill="auto"/>
        </w:rPr>
        <w:t>：包括会计核算、会计分析、会计预测和会计决策，</w:t>
      </w:r>
      <w:r>
        <w:rPr>
          <w:rFonts w:ascii="宋体" w:hAnsi="宋体" w:cs="宋体"/>
          <w:sz w:val="15"/>
          <w:szCs w:val="15"/>
          <w:shd w:val="clear" w:color="050000" w:fill="auto"/>
        </w:rPr>
        <w:t xml:space="preserve"> </w:t>
      </w:r>
      <w:r>
        <w:rPr>
          <w:rFonts w:hint="eastAsia" w:ascii="宋体" w:hAnsi="宋体" w:cs="宋体"/>
          <w:sz w:val="15"/>
          <w:szCs w:val="15"/>
          <w:shd w:val="clear" w:color="050000" w:fill="auto"/>
        </w:rPr>
        <w:t>以及科学的会计的程序。</w:t>
      </w:r>
    </w:p>
    <w:p>
      <w:pPr>
        <w:spacing w:line="160" w:lineRule="exact"/>
        <w:jc w:val="left"/>
        <w:rPr>
          <w:rFonts w:ascii="宋体" w:cs="宋体"/>
          <w:sz w:val="15"/>
          <w:szCs w:val="15"/>
          <w:shd w:val="clear" w:color="050000" w:fill="auto"/>
        </w:rPr>
      </w:pPr>
      <w:r>
        <w:rPr>
          <w:rFonts w:hint="eastAsia" w:ascii="宋体" w:hAnsi="宋体" w:cs="宋体"/>
          <w:sz w:val="15"/>
          <w:szCs w:val="15"/>
          <w:shd w:val="clear" w:color="050000" w:fill="auto"/>
        </w:rPr>
        <w:t>财务会计仍然运用传统会计的基本方法和程序进行会计数据的处理与加工</w:t>
      </w:r>
    </w:p>
    <w:p>
      <w:pPr>
        <w:spacing w:line="160" w:lineRule="exact"/>
        <w:jc w:val="left"/>
        <w:rPr>
          <w:rFonts w:ascii="宋体" w:cs="宋体"/>
          <w:sz w:val="15"/>
          <w:szCs w:val="15"/>
          <w:shd w:val="clear" w:color="050000" w:fill="auto"/>
        </w:rPr>
      </w:pPr>
      <w:r>
        <w:rPr>
          <w:rFonts w:hint="eastAsia" w:ascii="宋体" w:hAnsi="宋体" w:cs="宋体"/>
          <w:b/>
          <w:sz w:val="15"/>
          <w:szCs w:val="15"/>
          <w:shd w:val="clear" w:color="050000" w:fill="auto"/>
        </w:rPr>
        <w:t>高级财务会计的概念</w:t>
      </w:r>
      <w:r>
        <w:rPr>
          <w:rFonts w:hint="eastAsia" w:ascii="宋体" w:hAnsi="宋体" w:cs="宋体"/>
          <w:sz w:val="15"/>
          <w:szCs w:val="15"/>
          <w:shd w:val="clear" w:color="050000" w:fill="auto"/>
        </w:rPr>
        <w:t>；是运用传统的财务会计理论与方法，以及在新的社会经济条件下发展了的财务会计理论与方法，对在新的社会经济条件下出现的传统财务会计中不予包括或不经常发生的企业特殊经济业务进行核算和监督。向与企业有经济利害关系者提供决策有用的会计信息的经济管理活动</w:t>
      </w:r>
    </w:p>
    <w:p>
      <w:pPr>
        <w:spacing w:line="160" w:lineRule="exact"/>
        <w:jc w:val="left"/>
        <w:rPr>
          <w:rFonts w:ascii="宋体" w:cs="宋体"/>
          <w:sz w:val="15"/>
          <w:szCs w:val="15"/>
          <w:shd w:val="clear" w:color="050000" w:fill="auto"/>
        </w:rPr>
      </w:pPr>
      <w:r>
        <w:rPr>
          <w:rFonts w:hint="eastAsia" w:ascii="宋体" w:hAnsi="宋体" w:cs="宋体"/>
          <w:b/>
          <w:bCs/>
          <w:sz w:val="15"/>
          <w:szCs w:val="15"/>
          <w:shd w:val="clear" w:color="050000" w:fill="auto"/>
        </w:rPr>
        <w:t>高级财务会计的产生</w:t>
      </w:r>
      <w:r>
        <w:rPr>
          <w:rFonts w:hint="eastAsia" w:ascii="宋体" w:hAnsi="宋体" w:cs="宋体"/>
          <w:sz w:val="15"/>
          <w:szCs w:val="15"/>
          <w:shd w:val="clear" w:color="050000" w:fill="auto"/>
        </w:rPr>
        <w:t>；</w:t>
      </w:r>
      <w:r>
        <w:rPr>
          <w:rFonts w:ascii="宋体" w:hAnsi="宋体" w:cs="宋体"/>
          <w:sz w:val="15"/>
          <w:szCs w:val="15"/>
          <w:shd w:val="clear" w:color="050000" w:fill="auto"/>
        </w:rPr>
        <w:t>20</w:t>
      </w:r>
      <w:r>
        <w:rPr>
          <w:rFonts w:hint="eastAsia" w:ascii="宋体" w:hAnsi="宋体" w:cs="宋体"/>
          <w:sz w:val="15"/>
          <w:szCs w:val="15"/>
          <w:shd w:val="clear" w:color="050000" w:fill="auto"/>
        </w:rPr>
        <w:t>世纪</w:t>
      </w:r>
      <w:r>
        <w:rPr>
          <w:rFonts w:ascii="宋体" w:hAnsi="宋体" w:cs="宋体"/>
          <w:sz w:val="15"/>
          <w:szCs w:val="15"/>
          <w:shd w:val="clear" w:color="050000" w:fill="auto"/>
        </w:rPr>
        <w:t>40</w:t>
      </w:r>
      <w:r>
        <w:rPr>
          <w:rFonts w:hint="eastAsia" w:ascii="宋体" w:hAnsi="宋体" w:cs="宋体"/>
          <w:sz w:val="15"/>
          <w:szCs w:val="15"/>
          <w:shd w:val="clear" w:color="050000" w:fill="auto"/>
        </w:rPr>
        <w:t>年代</w:t>
      </w:r>
    </w:p>
    <w:p>
      <w:pPr>
        <w:spacing w:line="160" w:lineRule="exact"/>
        <w:jc w:val="left"/>
        <w:rPr>
          <w:rFonts w:ascii="宋体" w:cs="宋体"/>
          <w:sz w:val="15"/>
          <w:szCs w:val="15"/>
          <w:shd w:val="clear" w:color="050000" w:fill="auto"/>
        </w:rPr>
      </w:pPr>
      <w:r>
        <w:rPr>
          <w:rFonts w:hint="eastAsia" w:ascii="宋体" w:hAnsi="宋体" w:cs="宋体"/>
          <w:b/>
          <w:bCs/>
          <w:sz w:val="15"/>
          <w:szCs w:val="15"/>
          <w:shd w:val="clear" w:color="050000" w:fill="auto"/>
        </w:rPr>
        <w:t>高级财务会计产生的社会经济条件：</w:t>
      </w:r>
      <w:r>
        <w:rPr>
          <w:rFonts w:hint="eastAsia" w:ascii="宋体" w:hAnsi="宋体" w:cs="宋体"/>
          <w:sz w:val="15"/>
          <w:szCs w:val="15"/>
          <w:shd w:val="clear" w:color="050000" w:fill="auto"/>
        </w:rPr>
        <w:t>第一各国经济不断迅速发张壮大，在股份公司发张的基础上控制公司的兴起和发展，进而集团公司的大量涌现，是财务会计的目标更主要的转向外部报告。第二国际贸易、国际投资、跨国经营迅速发展，西方国家不仅进一步推行商品资本和货币资本的国际化，而且大规模实行生产资本的国际化，从而促使国际间的贸易和投资不断扩大，突破企业经济活动以国内为主的特征。第三为满足商品生产发展的资金需要，不仅国内金融市场不断扩大，而且跨国界的大量资金融通及债务亦频繁出现，由此是得国际金融市场亦得以形成。</w:t>
      </w:r>
    </w:p>
    <w:p>
      <w:pPr>
        <w:spacing w:line="160" w:lineRule="exact"/>
        <w:jc w:val="left"/>
        <w:rPr>
          <w:rFonts w:ascii="宋体" w:cs="宋体"/>
          <w:sz w:val="15"/>
          <w:szCs w:val="15"/>
          <w:shd w:val="clear" w:color="050000" w:fill="auto"/>
        </w:rPr>
      </w:pPr>
      <w:r>
        <w:rPr>
          <w:rFonts w:hint="eastAsia" w:ascii="宋体" w:hAnsi="宋体" w:cs="宋体"/>
          <w:b/>
          <w:sz w:val="15"/>
          <w:szCs w:val="15"/>
          <w:shd w:val="clear" w:color="050000" w:fill="auto"/>
        </w:rPr>
        <w:t>高级会计的核算内容</w:t>
      </w:r>
      <w:r>
        <w:rPr>
          <w:rFonts w:hint="eastAsia" w:ascii="宋体" w:hAnsi="宋体" w:cs="宋体"/>
          <w:sz w:val="15"/>
          <w:szCs w:val="15"/>
          <w:shd w:val="clear" w:color="050000" w:fill="auto"/>
        </w:rPr>
        <w:t>；</w:t>
      </w:r>
      <w:r>
        <w:rPr>
          <w:rFonts w:hint="eastAsia" w:ascii="宋体" w:hAnsi="宋体" w:cs="宋体"/>
          <w:b/>
          <w:sz w:val="15"/>
          <w:szCs w:val="15"/>
          <w:shd w:val="clear" w:color="050000" w:fill="auto"/>
        </w:rPr>
        <w:t>各类企业均可能发生的特殊会计业务</w:t>
      </w:r>
      <w:r>
        <w:rPr>
          <w:rFonts w:hint="eastAsia" w:ascii="宋体" w:hAnsi="宋体" w:cs="宋体"/>
          <w:sz w:val="15"/>
          <w:szCs w:val="15"/>
          <w:shd w:val="clear" w:color="050000" w:fill="auto"/>
        </w:rPr>
        <w:t>、外币交易与折算的会计业务、企业所得税的会计业务、股份上市企业公司信息披露的会计业务、衍生金融工具的会计业务。</w:t>
      </w:r>
      <w:r>
        <w:rPr>
          <w:rFonts w:ascii="宋体" w:hAnsi="宋体" w:cs="宋体"/>
          <w:sz w:val="15"/>
          <w:szCs w:val="15"/>
          <w:shd w:val="clear" w:color="050000" w:fill="auto"/>
        </w:rPr>
        <w:t xml:space="preserve"> </w:t>
      </w:r>
    </w:p>
    <w:p>
      <w:pPr>
        <w:spacing w:line="160" w:lineRule="exact"/>
        <w:jc w:val="left"/>
        <w:rPr>
          <w:rFonts w:ascii="宋体" w:cs="宋体"/>
          <w:sz w:val="15"/>
          <w:szCs w:val="15"/>
          <w:shd w:val="clear" w:color="050000" w:fill="auto"/>
        </w:rPr>
      </w:pPr>
      <w:r>
        <w:rPr>
          <w:rFonts w:hint="eastAsia" w:ascii="宋体" w:hAnsi="宋体" w:cs="宋体"/>
          <w:b/>
          <w:sz w:val="15"/>
          <w:szCs w:val="15"/>
          <w:shd w:val="clear" w:color="050000" w:fill="auto"/>
        </w:rPr>
        <w:t>特种经营行业的特殊会计业务：</w:t>
      </w:r>
      <w:r>
        <w:rPr>
          <w:rFonts w:hint="eastAsia" w:ascii="宋体" w:hAnsi="宋体" w:cs="宋体"/>
          <w:sz w:val="15"/>
          <w:szCs w:val="15"/>
          <w:shd w:val="clear" w:color="050000" w:fill="auto"/>
        </w:rPr>
        <w:t>期货交易与经营的会计业务、</w:t>
      </w:r>
      <w:r>
        <w:rPr>
          <w:rFonts w:ascii="宋体" w:hAnsi="宋体" w:cs="宋体"/>
          <w:sz w:val="15"/>
          <w:szCs w:val="15"/>
          <w:shd w:val="clear" w:color="050000" w:fill="auto"/>
        </w:rPr>
        <w:t xml:space="preserve"> </w:t>
      </w:r>
      <w:r>
        <w:rPr>
          <w:rFonts w:hint="eastAsia" w:ascii="宋体" w:hAnsi="宋体" w:cs="宋体"/>
          <w:sz w:val="15"/>
          <w:szCs w:val="15"/>
          <w:shd w:val="clear" w:color="050000" w:fill="auto"/>
        </w:rPr>
        <w:t>现代租凭经营的会计业务。</w:t>
      </w:r>
    </w:p>
    <w:p>
      <w:pPr>
        <w:spacing w:line="160" w:lineRule="exact"/>
        <w:jc w:val="left"/>
        <w:rPr>
          <w:rFonts w:ascii="宋体" w:cs="宋体"/>
          <w:sz w:val="15"/>
          <w:szCs w:val="15"/>
          <w:shd w:val="clear" w:color="050000" w:fill="auto"/>
        </w:rPr>
      </w:pPr>
      <w:r>
        <w:rPr>
          <w:rFonts w:hint="eastAsia" w:ascii="宋体" w:hAnsi="宋体" w:cs="宋体"/>
          <w:b/>
          <w:sz w:val="15"/>
          <w:szCs w:val="15"/>
          <w:shd w:val="clear" w:color="050000" w:fill="auto"/>
        </w:rPr>
        <w:t>复合会计主体的特殊会计业务：</w:t>
      </w:r>
      <w:r>
        <w:rPr>
          <w:rFonts w:hint="eastAsia" w:ascii="宋体" w:hAnsi="宋体" w:cs="宋体"/>
          <w:sz w:val="15"/>
          <w:szCs w:val="15"/>
          <w:shd w:val="clear" w:color="050000" w:fill="auto"/>
        </w:rPr>
        <w:t>企业合并的会计业务，</w:t>
      </w:r>
      <w:r>
        <w:rPr>
          <w:rFonts w:ascii="宋体" w:hAnsi="宋体" w:cs="宋体"/>
          <w:sz w:val="15"/>
          <w:szCs w:val="15"/>
          <w:shd w:val="clear" w:color="050000" w:fill="auto"/>
        </w:rPr>
        <w:t xml:space="preserve"> </w:t>
      </w:r>
      <w:r>
        <w:rPr>
          <w:rFonts w:hint="eastAsia" w:ascii="宋体" w:hAnsi="宋体" w:cs="宋体"/>
          <w:sz w:val="15"/>
          <w:szCs w:val="15"/>
          <w:shd w:val="clear" w:color="050000" w:fill="auto"/>
        </w:rPr>
        <w:t>集团公司的母公司于子公司以及总公司于所属分支机构及各所属企业间内部往来的会计业务，企业合并和集团公司建立后的报告主体合并会计报表编制的会计业务。</w:t>
      </w:r>
    </w:p>
    <w:p>
      <w:pPr>
        <w:spacing w:line="160" w:lineRule="exact"/>
        <w:jc w:val="left"/>
        <w:rPr>
          <w:rFonts w:ascii="宋体" w:cs="宋体"/>
          <w:sz w:val="15"/>
          <w:szCs w:val="15"/>
          <w:shd w:val="clear" w:color="050000" w:fill="auto"/>
        </w:rPr>
      </w:pPr>
      <w:r>
        <w:rPr>
          <w:rFonts w:hint="eastAsia" w:ascii="宋体" w:hAnsi="宋体" w:cs="宋体"/>
          <w:b/>
          <w:sz w:val="15"/>
          <w:szCs w:val="15"/>
          <w:shd w:val="clear" w:color="050000" w:fill="auto"/>
        </w:rPr>
        <w:t>特殊经济时期的特殊会计业务：</w:t>
      </w:r>
      <w:r>
        <w:rPr>
          <w:rFonts w:ascii="宋体" w:hAnsi="宋体" w:cs="宋体"/>
          <w:sz w:val="15"/>
          <w:szCs w:val="15"/>
          <w:shd w:val="clear" w:color="050000" w:fill="auto"/>
        </w:rPr>
        <w:t xml:space="preserve"> </w:t>
      </w:r>
      <w:r>
        <w:rPr>
          <w:rFonts w:hint="eastAsia" w:ascii="宋体" w:hAnsi="宋体" w:cs="宋体"/>
          <w:sz w:val="15"/>
          <w:szCs w:val="15"/>
          <w:shd w:val="clear" w:color="050000" w:fill="auto"/>
        </w:rPr>
        <w:t>通货膨胀信息披露的会计业务、企业停业与破产清算的会计业务。</w:t>
      </w:r>
    </w:p>
    <w:p>
      <w:pPr>
        <w:spacing w:line="160" w:lineRule="exact"/>
        <w:jc w:val="left"/>
        <w:rPr>
          <w:rFonts w:ascii="宋体" w:cs="宋体"/>
          <w:sz w:val="15"/>
          <w:szCs w:val="15"/>
          <w:shd w:val="clear" w:color="050000" w:fill="auto"/>
        </w:rPr>
      </w:pPr>
      <w:r>
        <w:rPr>
          <w:rFonts w:ascii="宋体" w:hAnsi="宋体" w:cs="宋体"/>
          <w:b/>
          <w:sz w:val="15"/>
          <w:szCs w:val="15"/>
          <w:shd w:val="clear" w:color="050000" w:fill="auto"/>
        </w:rPr>
        <w:t xml:space="preserve"> </w:t>
      </w:r>
      <w:r>
        <w:rPr>
          <w:rFonts w:hint="eastAsia" w:ascii="宋体" w:hAnsi="宋体" w:cs="宋体"/>
          <w:b/>
          <w:sz w:val="15"/>
          <w:szCs w:val="15"/>
          <w:shd w:val="clear" w:color="050000" w:fill="auto"/>
        </w:rPr>
        <w:t>外币与外汇</w:t>
      </w:r>
      <w:r>
        <w:rPr>
          <w:rFonts w:ascii="宋体" w:hAnsi="宋体" w:cs="宋体"/>
          <w:b/>
          <w:sz w:val="15"/>
          <w:szCs w:val="15"/>
          <w:shd w:val="clear" w:color="050000" w:fill="auto"/>
        </w:rPr>
        <w:t xml:space="preserve"> </w:t>
      </w:r>
      <w:r>
        <w:rPr>
          <w:rFonts w:hint="eastAsia" w:ascii="宋体" w:hAnsi="宋体" w:cs="宋体"/>
          <w:sz w:val="15"/>
          <w:szCs w:val="15"/>
          <w:shd w:val="clear" w:color="050000" w:fill="auto"/>
        </w:rPr>
        <w:t>：</w:t>
      </w:r>
      <w:r>
        <w:rPr>
          <w:rFonts w:ascii="宋体" w:hAnsi="宋体" w:cs="宋体"/>
          <w:sz w:val="15"/>
          <w:szCs w:val="15"/>
          <w:shd w:val="clear" w:color="050000" w:fill="auto"/>
        </w:rPr>
        <w:t xml:space="preserve"> </w:t>
      </w:r>
      <w:r>
        <w:rPr>
          <w:rFonts w:hint="eastAsia" w:ascii="宋体" w:hAnsi="宋体" w:cs="宋体"/>
          <w:sz w:val="15"/>
          <w:szCs w:val="15"/>
          <w:shd w:val="clear" w:color="050000" w:fill="auto"/>
        </w:rPr>
        <w:t>外币，外国货币的简称</w:t>
      </w:r>
      <w:r>
        <w:rPr>
          <w:rFonts w:ascii="宋体" w:hAnsi="宋体" w:cs="宋体"/>
          <w:sz w:val="15"/>
          <w:szCs w:val="15"/>
          <w:shd w:val="clear" w:color="050000" w:fill="auto"/>
        </w:rPr>
        <w:t xml:space="preserve"> </w:t>
      </w:r>
      <w:r>
        <w:rPr>
          <w:rFonts w:hint="eastAsia" w:ascii="宋体" w:hAnsi="宋体" w:cs="宋体"/>
          <w:sz w:val="15"/>
          <w:szCs w:val="15"/>
          <w:shd w:val="clear" w:color="050000" w:fill="auto"/>
        </w:rPr>
        <w:t>是指本国货币以外的其他国家或地区的货币。它常用于企业贸易、投资等经济活动等经济活动引起的对外结算的业务中。</w:t>
      </w:r>
      <w:r>
        <w:rPr>
          <w:rFonts w:ascii="宋体" w:hAnsi="宋体" w:cs="宋体"/>
          <w:sz w:val="15"/>
          <w:szCs w:val="15"/>
          <w:shd w:val="clear" w:color="050000" w:fill="auto"/>
        </w:rPr>
        <w:t xml:space="preserve"> </w:t>
      </w:r>
      <w:r>
        <w:rPr>
          <w:rFonts w:hint="eastAsia" w:ascii="宋体" w:hAnsi="宋体" w:cs="宋体"/>
          <w:sz w:val="15"/>
          <w:szCs w:val="15"/>
          <w:shd w:val="clear" w:color="050000" w:fill="auto"/>
        </w:rPr>
        <w:t>外汇是外币资产的总称。外汇是指以外币表示的用于国际结算的支付手段，包括可用于国际支付的特殊债券、其他外币资产。外汇包括外币，它具备如下条件</w:t>
      </w:r>
      <w:r>
        <w:rPr>
          <w:rFonts w:ascii="宋体" w:hAnsi="宋体" w:cs="宋体"/>
          <w:sz w:val="15"/>
          <w:szCs w:val="15"/>
          <w:shd w:val="clear" w:color="050000" w:fill="auto"/>
        </w:rPr>
        <w:t>1</w:t>
      </w:r>
      <w:r>
        <w:rPr>
          <w:rFonts w:hint="eastAsia" w:ascii="宋体" w:hAnsi="宋体" w:cs="宋体"/>
          <w:sz w:val="15"/>
          <w:szCs w:val="15"/>
          <w:shd w:val="clear" w:color="050000" w:fill="auto"/>
        </w:rPr>
        <w:t>是外币表示的国外资产</w:t>
      </w:r>
      <w:r>
        <w:rPr>
          <w:rFonts w:ascii="宋体" w:hAnsi="宋体" w:cs="宋体"/>
          <w:sz w:val="15"/>
          <w:szCs w:val="15"/>
          <w:shd w:val="clear" w:color="050000" w:fill="auto"/>
        </w:rPr>
        <w:t>2</w:t>
      </w:r>
      <w:r>
        <w:rPr>
          <w:rFonts w:hint="eastAsia" w:ascii="宋体" w:hAnsi="宋体" w:cs="宋体"/>
          <w:sz w:val="15"/>
          <w:szCs w:val="15"/>
          <w:shd w:val="clear" w:color="050000" w:fill="auto"/>
        </w:rPr>
        <w:t>是在国外能够得到偿付的债权</w:t>
      </w:r>
      <w:r>
        <w:rPr>
          <w:rFonts w:ascii="宋体" w:hAnsi="宋体" w:cs="宋体"/>
          <w:sz w:val="15"/>
          <w:szCs w:val="15"/>
          <w:shd w:val="clear" w:color="050000" w:fill="auto"/>
        </w:rPr>
        <w:t>3</w:t>
      </w:r>
      <w:r>
        <w:rPr>
          <w:rFonts w:hint="eastAsia" w:ascii="宋体" w:hAnsi="宋体" w:cs="宋体"/>
          <w:sz w:val="15"/>
          <w:szCs w:val="15"/>
          <w:shd w:val="clear" w:color="050000" w:fill="auto"/>
        </w:rPr>
        <w:t>是可以兑换成其他支付手段的外币资产</w:t>
      </w:r>
    </w:p>
    <w:p>
      <w:pPr>
        <w:spacing w:line="160" w:lineRule="exact"/>
        <w:jc w:val="left"/>
        <w:rPr>
          <w:rFonts w:ascii="宋体" w:cs="宋体"/>
          <w:sz w:val="15"/>
          <w:szCs w:val="15"/>
          <w:shd w:val="clear" w:color="050000" w:fill="auto"/>
        </w:rPr>
      </w:pPr>
      <w:r>
        <w:rPr>
          <w:rFonts w:hint="eastAsia" w:ascii="宋体" w:hAnsi="宋体" w:cs="宋体"/>
          <w:b/>
          <w:sz w:val="15"/>
          <w:szCs w:val="15"/>
          <w:shd w:val="clear" w:color="050000" w:fill="auto"/>
        </w:rPr>
        <w:t>记账本位币的选择</w:t>
      </w:r>
      <w:r>
        <w:rPr>
          <w:rFonts w:hint="eastAsia" w:ascii="宋体" w:hAnsi="宋体" w:cs="宋体"/>
          <w:sz w:val="15"/>
          <w:szCs w:val="15"/>
          <w:shd w:val="clear" w:color="050000" w:fill="auto"/>
        </w:rPr>
        <w:t>：对与发生多钟货币计价核算的会计主体，必然要选择一个统一的货币成为会计计量尺度的记账货币，并以该货币表述和处理经济业务。这种作为会计计量基本尺度的货币即记账本位币。企业记账本位币一经确定，不得随意变更，除非企业经营所处的主要经济环境发生重大变化。</w:t>
      </w:r>
    </w:p>
    <w:p>
      <w:pPr>
        <w:spacing w:line="160" w:lineRule="exact"/>
        <w:jc w:val="left"/>
        <w:rPr>
          <w:rFonts w:ascii="宋体" w:cs="宋体"/>
          <w:sz w:val="15"/>
          <w:szCs w:val="15"/>
          <w:shd w:val="clear" w:color="050000" w:fill="auto"/>
        </w:rPr>
      </w:pPr>
      <w:r>
        <w:rPr>
          <w:rFonts w:hint="eastAsia" w:ascii="宋体" w:hAnsi="宋体" w:cs="宋体"/>
          <w:b/>
          <w:bCs/>
          <w:sz w:val="15"/>
          <w:szCs w:val="15"/>
          <w:shd w:val="clear" w:color="050000" w:fill="auto"/>
        </w:rPr>
        <w:t>外币业务</w:t>
      </w:r>
      <w:r>
        <w:rPr>
          <w:rFonts w:hint="eastAsia" w:ascii="宋体" w:hAnsi="宋体" w:cs="宋体"/>
          <w:sz w:val="15"/>
          <w:szCs w:val="15"/>
          <w:shd w:val="clear" w:color="050000" w:fill="auto"/>
        </w:rPr>
        <w:t>：外币业务包括外币交易和外币报表折算。外币交易是指企业以非记账本位币进行收付、结算等业务。</w:t>
      </w:r>
    </w:p>
    <w:p>
      <w:pPr>
        <w:spacing w:line="160" w:lineRule="exact"/>
        <w:jc w:val="left"/>
        <w:rPr>
          <w:rFonts w:ascii="宋体" w:cs="宋体"/>
          <w:sz w:val="15"/>
          <w:szCs w:val="15"/>
          <w:shd w:val="clear" w:color="050000" w:fill="auto"/>
        </w:rPr>
      </w:pPr>
      <w:r>
        <w:rPr>
          <w:rFonts w:hint="eastAsia" w:ascii="宋体" w:hAnsi="宋体" w:cs="宋体"/>
          <w:b/>
          <w:sz w:val="15"/>
          <w:szCs w:val="15"/>
          <w:shd w:val="clear" w:color="050000" w:fill="auto"/>
        </w:rPr>
        <w:t>外币报表折算</w:t>
      </w:r>
      <w:r>
        <w:rPr>
          <w:rFonts w:hint="eastAsia" w:ascii="宋体" w:hAnsi="宋体" w:cs="宋体"/>
          <w:sz w:val="15"/>
          <w:szCs w:val="15"/>
          <w:shd w:val="clear" w:color="050000" w:fill="auto"/>
        </w:rPr>
        <w:t>是指为满足特定的目的，将一种货币单位表述的会计报表折算成所要求的另一种货币单位表述的会计报表</w:t>
      </w:r>
    </w:p>
    <w:p>
      <w:pPr>
        <w:spacing w:line="160" w:lineRule="exact"/>
        <w:jc w:val="left"/>
        <w:rPr>
          <w:rFonts w:ascii="宋体" w:cs="宋体"/>
          <w:sz w:val="15"/>
          <w:szCs w:val="15"/>
          <w:shd w:val="clear" w:color="050000" w:fill="auto"/>
        </w:rPr>
      </w:pPr>
      <w:r>
        <w:rPr>
          <w:rFonts w:hint="eastAsia" w:ascii="宋体" w:hAnsi="宋体" w:cs="宋体"/>
          <w:b/>
          <w:sz w:val="15"/>
          <w:szCs w:val="15"/>
          <w:shd w:val="clear" w:color="050000" w:fill="auto"/>
        </w:rPr>
        <w:t>汇率</w:t>
      </w:r>
      <w:r>
        <w:rPr>
          <w:rFonts w:hint="eastAsia" w:ascii="宋体" w:hAnsi="宋体" w:cs="宋体"/>
          <w:sz w:val="15"/>
          <w:szCs w:val="15"/>
          <w:shd w:val="clear" w:color="050000" w:fill="auto"/>
        </w:rPr>
        <w:t>又称汇价或外汇牌价事指一国货币兑换成另一国货币货币时的比价或比率或以一国货币所表示是的另一国货币的价格。</w:t>
      </w:r>
    </w:p>
    <w:p>
      <w:pPr>
        <w:spacing w:line="160" w:lineRule="exact"/>
        <w:jc w:val="left"/>
        <w:rPr>
          <w:rFonts w:ascii="宋体" w:cs="宋体"/>
          <w:sz w:val="15"/>
          <w:szCs w:val="15"/>
          <w:shd w:val="clear" w:color="050000" w:fill="auto"/>
        </w:rPr>
      </w:pPr>
      <w:r>
        <w:rPr>
          <w:rFonts w:hint="eastAsia" w:ascii="宋体" w:hAnsi="宋体" w:cs="宋体"/>
          <w:b/>
          <w:sz w:val="15"/>
          <w:szCs w:val="15"/>
          <w:shd w:val="clear" w:color="050000" w:fill="auto"/>
        </w:rPr>
        <w:t>汇率的标价</w:t>
      </w:r>
      <w:r>
        <w:rPr>
          <w:rFonts w:hint="eastAsia" w:ascii="宋体" w:hAnsi="宋体" w:cs="宋体"/>
          <w:sz w:val="15"/>
          <w:szCs w:val="15"/>
          <w:shd w:val="clear" w:color="050000" w:fill="auto"/>
        </w:rPr>
        <w:t>是汇率以国外货币来表示本国货币的价格，或以本国货币来表示外国货币的价格。分为直接标价法和间接标价法。直接标价法是指以一定单位的货币为标准折合成一定数额的本国货币直接标价法的特点是外币数外币数固定不变本国货币数随汇率高低发生变化，本国货币币值大小与汇率的高低成反比。世界上大多数国家汇率的标记采用直接标价法我国也采用这一方法，间接标价法是指以一定本国货币作为标准折合成一定数额的外币。特点本国货币数固定不变外币数随汇率高低发生变化本国货币大小与汇率高低成正比通常英美国采用间接标价方法但美国对英国采用直接标价法</w:t>
      </w:r>
    </w:p>
    <w:p>
      <w:pPr>
        <w:spacing w:line="160" w:lineRule="exact"/>
        <w:jc w:val="left"/>
        <w:rPr>
          <w:rFonts w:ascii="宋体" w:cs="宋体"/>
          <w:sz w:val="15"/>
          <w:szCs w:val="15"/>
          <w:shd w:val="clear" w:color="050000" w:fill="auto"/>
        </w:rPr>
      </w:pPr>
      <w:r>
        <w:rPr>
          <w:rFonts w:hint="eastAsia" w:ascii="宋体" w:hAnsi="宋体" w:cs="宋体"/>
          <w:b/>
          <w:sz w:val="15"/>
          <w:szCs w:val="15"/>
          <w:shd w:val="clear" w:color="050000" w:fill="auto"/>
        </w:rPr>
        <w:t>外汇经营形式</w:t>
      </w:r>
      <w:r>
        <w:rPr>
          <w:rFonts w:hint="eastAsia" w:ascii="宋体" w:hAnsi="宋体" w:cs="宋体"/>
          <w:sz w:val="15"/>
          <w:szCs w:val="15"/>
          <w:shd w:val="clear" w:color="050000" w:fill="auto"/>
        </w:rPr>
        <w:t>分为银行挂牌汇率外汇市场汇率。外汇付款期限分为即期汇率和远期汇率</w:t>
      </w:r>
    </w:p>
    <w:p>
      <w:pPr>
        <w:spacing w:line="160" w:lineRule="exact"/>
        <w:jc w:val="left"/>
        <w:rPr>
          <w:rFonts w:ascii="宋体" w:cs="宋体"/>
          <w:sz w:val="15"/>
          <w:szCs w:val="15"/>
          <w:shd w:val="clear" w:color="050000" w:fill="auto"/>
        </w:rPr>
      </w:pPr>
      <w:r>
        <w:rPr>
          <w:rFonts w:hint="eastAsia" w:ascii="宋体" w:hAnsi="宋体" w:cs="宋体"/>
          <w:b/>
          <w:sz w:val="15"/>
          <w:szCs w:val="15"/>
          <w:shd w:val="clear" w:color="050000" w:fill="auto"/>
        </w:rPr>
        <w:t>汇兑损益</w:t>
      </w:r>
      <w:r>
        <w:rPr>
          <w:rFonts w:hint="eastAsia" w:ascii="宋体" w:hAnsi="宋体" w:cs="宋体"/>
          <w:sz w:val="15"/>
          <w:szCs w:val="15"/>
          <w:shd w:val="clear" w:color="050000" w:fill="auto"/>
        </w:rPr>
        <w:t>是指企业发生的外币业务和折算为记账本位币时，由于汇率的变动而产生的记账本位币的折算差额和不同与外币兑换发生的收付差额。</w:t>
      </w:r>
    </w:p>
    <w:p>
      <w:pPr>
        <w:spacing w:line="160" w:lineRule="exact"/>
        <w:jc w:val="left"/>
        <w:rPr>
          <w:rFonts w:ascii="宋体" w:cs="宋体"/>
          <w:sz w:val="15"/>
          <w:szCs w:val="15"/>
          <w:shd w:val="clear" w:color="050000" w:fill="auto"/>
        </w:rPr>
      </w:pPr>
      <w:r>
        <w:rPr>
          <w:rFonts w:hint="eastAsia" w:ascii="宋体" w:hAnsi="宋体" w:cs="宋体"/>
          <w:b/>
          <w:bCs/>
          <w:sz w:val="15"/>
          <w:szCs w:val="15"/>
          <w:shd w:val="clear" w:color="050000" w:fill="auto"/>
        </w:rPr>
        <w:t>汇兑损益的类型</w:t>
      </w:r>
      <w:r>
        <w:rPr>
          <w:rFonts w:hint="eastAsia" w:ascii="宋体" w:hAnsi="宋体" w:cs="宋体"/>
          <w:sz w:val="15"/>
          <w:szCs w:val="15"/>
          <w:shd w:val="clear" w:color="050000" w:fill="auto"/>
        </w:rPr>
        <w:t>；根据汇兑损益产生的不同分为几种常见的类型交易汇兑损益兑换汇兑损益调整外币汇兑损益外币折算汇兑损益。</w:t>
      </w:r>
    </w:p>
    <w:p>
      <w:pPr>
        <w:spacing w:line="160" w:lineRule="exact"/>
        <w:jc w:val="left"/>
        <w:rPr>
          <w:rFonts w:ascii="宋体" w:cs="宋体"/>
          <w:sz w:val="15"/>
          <w:szCs w:val="15"/>
          <w:shd w:val="clear" w:color="050000" w:fill="auto"/>
        </w:rPr>
      </w:pPr>
      <w:r>
        <w:rPr>
          <w:rFonts w:hint="eastAsia" w:ascii="宋体" w:hAnsi="宋体" w:cs="宋体"/>
          <w:b/>
          <w:bCs/>
          <w:sz w:val="15"/>
          <w:szCs w:val="15"/>
          <w:shd w:val="clear" w:color="050000" w:fill="auto"/>
        </w:rPr>
        <w:t>外币交易适用于外币计价或结算的交易具有许多表现形式</w:t>
      </w:r>
      <w:r>
        <w:rPr>
          <w:rFonts w:ascii="宋体" w:hAnsi="宋体" w:cs="宋体"/>
          <w:sz w:val="15"/>
          <w:szCs w:val="15"/>
          <w:shd w:val="clear" w:color="050000" w:fill="auto"/>
        </w:rPr>
        <w:t>1</w:t>
      </w:r>
      <w:r>
        <w:rPr>
          <w:rFonts w:hint="eastAsia" w:ascii="宋体" w:hAnsi="宋体" w:cs="宋体"/>
          <w:sz w:val="15"/>
          <w:szCs w:val="15"/>
          <w:shd w:val="clear" w:color="050000" w:fill="auto"/>
        </w:rPr>
        <w:t>外币计价的商品购销交易和劳务供应</w:t>
      </w:r>
      <w:r>
        <w:rPr>
          <w:rFonts w:ascii="宋体" w:hAnsi="宋体" w:cs="宋体"/>
          <w:sz w:val="15"/>
          <w:szCs w:val="15"/>
          <w:shd w:val="clear" w:color="050000" w:fill="auto"/>
        </w:rPr>
        <w:t>2</w:t>
      </w:r>
      <w:r>
        <w:rPr>
          <w:rFonts w:hint="eastAsia" w:ascii="宋体" w:hAnsi="宋体" w:cs="宋体"/>
          <w:sz w:val="15"/>
          <w:szCs w:val="15"/>
          <w:shd w:val="clear" w:color="050000" w:fill="auto"/>
        </w:rPr>
        <w:t>外币进行结算的借入和出借款项</w:t>
      </w:r>
      <w:r>
        <w:rPr>
          <w:rFonts w:ascii="宋体" w:hAnsi="宋体" w:cs="宋体"/>
          <w:sz w:val="15"/>
          <w:szCs w:val="15"/>
          <w:shd w:val="clear" w:color="050000" w:fill="auto"/>
        </w:rPr>
        <w:t>3</w:t>
      </w:r>
      <w:r>
        <w:rPr>
          <w:rFonts w:hint="eastAsia" w:ascii="宋体" w:hAnsi="宋体" w:cs="宋体"/>
          <w:sz w:val="15"/>
          <w:szCs w:val="15"/>
          <w:shd w:val="clear" w:color="050000" w:fill="auto"/>
        </w:rPr>
        <w:t>以外币进行的保险业务、管理咨询业务。对已经发生的外币交易，会计上要处理以下问题</w:t>
      </w:r>
      <w:r>
        <w:rPr>
          <w:rFonts w:ascii="宋体" w:hAnsi="宋体" w:cs="宋体"/>
          <w:sz w:val="15"/>
          <w:szCs w:val="15"/>
          <w:shd w:val="clear" w:color="050000" w:fill="auto"/>
        </w:rPr>
        <w:t>1</w:t>
      </w:r>
      <w:r>
        <w:rPr>
          <w:rFonts w:hint="eastAsia" w:ascii="宋体" w:hAnsi="宋体" w:cs="宋体"/>
          <w:sz w:val="15"/>
          <w:szCs w:val="15"/>
          <w:shd w:val="clear" w:color="050000" w:fill="auto"/>
        </w:rPr>
        <w:t>外币交易发生时按交易日即期汇率折算为记账本位币予以记录</w:t>
      </w:r>
      <w:r>
        <w:rPr>
          <w:rFonts w:ascii="宋体" w:hAnsi="宋体" w:cs="宋体"/>
          <w:sz w:val="15"/>
          <w:szCs w:val="15"/>
          <w:shd w:val="clear" w:color="050000" w:fill="auto"/>
        </w:rPr>
        <w:t>2</w:t>
      </w:r>
      <w:r>
        <w:rPr>
          <w:rFonts w:hint="eastAsia" w:ascii="宋体" w:hAnsi="宋体" w:cs="宋体"/>
          <w:sz w:val="15"/>
          <w:szCs w:val="15"/>
          <w:shd w:val="clear" w:color="050000" w:fill="auto"/>
        </w:rPr>
        <w:t>进行汇兑损益计算和账务处理</w:t>
      </w:r>
      <w:r>
        <w:rPr>
          <w:rFonts w:ascii="宋体" w:hAnsi="宋体" w:cs="宋体"/>
          <w:sz w:val="15"/>
          <w:szCs w:val="15"/>
          <w:shd w:val="clear" w:color="050000" w:fill="auto"/>
        </w:rPr>
        <w:t>3</w:t>
      </w:r>
      <w:r>
        <w:rPr>
          <w:rFonts w:hint="eastAsia" w:ascii="宋体" w:hAnsi="宋体" w:cs="宋体"/>
          <w:sz w:val="15"/>
          <w:szCs w:val="15"/>
          <w:shd w:val="clear" w:color="050000" w:fill="auto"/>
        </w:rPr>
        <w:t>外币交易结束日按当日即期汇率折算和记录收回的外币应收款及偿付的外币应付款</w:t>
      </w:r>
      <w:r>
        <w:rPr>
          <w:rFonts w:ascii="宋体" w:hAnsi="宋体" w:cs="宋体"/>
          <w:sz w:val="15"/>
          <w:szCs w:val="15"/>
          <w:shd w:val="clear" w:color="050000" w:fill="auto"/>
        </w:rPr>
        <w:t>4</w:t>
      </w:r>
      <w:r>
        <w:rPr>
          <w:rFonts w:hint="eastAsia" w:ascii="宋体" w:hAnsi="宋体" w:cs="宋体"/>
          <w:sz w:val="15"/>
          <w:szCs w:val="15"/>
          <w:shd w:val="clear" w:color="050000" w:fill="auto"/>
        </w:rPr>
        <w:t>报表期末按编报日即期汇率调整各外币账户余额以便报告外币资产和负债。</w:t>
      </w:r>
    </w:p>
    <w:p>
      <w:pPr>
        <w:spacing w:line="160" w:lineRule="exact"/>
        <w:jc w:val="left"/>
        <w:rPr>
          <w:rFonts w:ascii="宋体" w:cs="宋体"/>
          <w:sz w:val="15"/>
          <w:szCs w:val="15"/>
          <w:shd w:val="clear" w:color="050000" w:fill="auto"/>
        </w:rPr>
      </w:pPr>
      <w:r>
        <w:rPr>
          <w:rFonts w:ascii="宋体" w:hAnsi="宋体" w:cs="宋体"/>
          <w:sz w:val="15"/>
          <w:szCs w:val="15"/>
          <w:shd w:val="clear" w:color="050000" w:fill="auto"/>
        </w:rPr>
        <w:t xml:space="preserve">  </w:t>
      </w:r>
      <w:r>
        <w:rPr>
          <w:rFonts w:hint="eastAsia" w:ascii="宋体" w:hAnsi="宋体" w:cs="宋体"/>
          <w:b/>
          <w:bCs/>
          <w:sz w:val="15"/>
          <w:szCs w:val="15"/>
          <w:shd w:val="clear" w:color="050000" w:fill="auto"/>
        </w:rPr>
        <w:t>单一交易观点</w:t>
      </w:r>
      <w:r>
        <w:rPr>
          <w:rFonts w:hint="eastAsia" w:ascii="宋体" w:hAnsi="宋体" w:cs="宋体"/>
          <w:sz w:val="15"/>
          <w:szCs w:val="15"/>
          <w:shd w:val="clear" w:color="050000" w:fill="auto"/>
        </w:rPr>
        <w:t>是指企业将发生的外币购货或销货的业务以及以后的账款结算均分别视为一笔交易的两个阶段，外币业务按记账本位币反应的购货成本或销售收入最终取决于它们结算日的汇率。</w:t>
      </w:r>
    </w:p>
    <w:p>
      <w:pPr>
        <w:spacing w:line="160" w:lineRule="exact"/>
        <w:jc w:val="left"/>
        <w:rPr>
          <w:rFonts w:ascii="宋体" w:cs="宋体"/>
          <w:sz w:val="15"/>
          <w:szCs w:val="15"/>
          <w:shd w:val="clear" w:color="050000" w:fill="auto"/>
        </w:rPr>
      </w:pPr>
      <w:r>
        <w:rPr>
          <w:rFonts w:hint="eastAsia" w:ascii="宋体" w:hAnsi="宋体" w:cs="宋体"/>
          <w:b/>
          <w:sz w:val="15"/>
          <w:szCs w:val="15"/>
          <w:shd w:val="clear" w:color="050000" w:fill="auto"/>
        </w:rPr>
        <w:t>单一交易观点会计处理要点</w:t>
      </w:r>
      <w:r>
        <w:rPr>
          <w:rFonts w:hint="eastAsia" w:ascii="宋体" w:hAnsi="宋体" w:cs="宋体"/>
          <w:sz w:val="15"/>
          <w:szCs w:val="15"/>
          <w:shd w:val="clear" w:color="050000" w:fill="auto"/>
        </w:rPr>
        <w:t>是</w:t>
      </w:r>
      <w:r>
        <w:rPr>
          <w:rFonts w:ascii="宋体" w:hAnsi="宋体" w:cs="宋体"/>
          <w:sz w:val="15"/>
          <w:szCs w:val="15"/>
          <w:shd w:val="clear" w:color="050000" w:fill="auto"/>
        </w:rPr>
        <w:t>1</w:t>
      </w:r>
      <w:r>
        <w:rPr>
          <w:rFonts w:hint="eastAsia" w:ascii="宋体" w:hAnsi="宋体" w:cs="宋体"/>
          <w:sz w:val="15"/>
          <w:szCs w:val="15"/>
          <w:shd w:val="clear" w:color="050000" w:fill="auto"/>
        </w:rPr>
        <w:t>在交易发生日按即期汇率将交易发生的外币金额折合为记账本位币入账</w:t>
      </w:r>
      <w:r>
        <w:rPr>
          <w:rFonts w:ascii="宋体" w:hAnsi="宋体" w:cs="宋体"/>
          <w:sz w:val="15"/>
          <w:szCs w:val="15"/>
          <w:shd w:val="clear" w:color="050000" w:fill="auto"/>
        </w:rPr>
        <w:t>2</w:t>
      </w:r>
      <w:r>
        <w:rPr>
          <w:rFonts w:hint="eastAsia" w:ascii="宋体" w:hAnsi="宋体" w:cs="宋体"/>
          <w:sz w:val="15"/>
          <w:szCs w:val="15"/>
          <w:shd w:val="clear" w:color="050000" w:fill="auto"/>
        </w:rPr>
        <w:t>在编制报表日，若交易尚未结算，按报表编制日即期汇率折算的记账本位币金额反应交易发生额，并对有关资产、负债收入成本账户进行调查</w:t>
      </w:r>
      <w:r>
        <w:rPr>
          <w:rFonts w:ascii="宋体" w:hAnsi="宋体" w:cs="宋体"/>
          <w:sz w:val="15"/>
          <w:szCs w:val="15"/>
          <w:shd w:val="clear" w:color="050000" w:fill="auto"/>
        </w:rPr>
        <w:t>3</w:t>
      </w:r>
      <w:r>
        <w:rPr>
          <w:rFonts w:hint="eastAsia" w:ascii="宋体" w:hAnsi="宋体" w:cs="宋体"/>
          <w:sz w:val="15"/>
          <w:szCs w:val="15"/>
          <w:shd w:val="clear" w:color="050000" w:fill="auto"/>
        </w:rPr>
        <w:t>在交易结算日，按结算日即期汇率折算的记账本位币金额反应交易发生额并对有关资产负债收入成本账户进行调整</w:t>
      </w:r>
    </w:p>
    <w:p>
      <w:pPr>
        <w:spacing w:line="160" w:lineRule="exact"/>
        <w:jc w:val="left"/>
        <w:rPr>
          <w:rFonts w:ascii="宋体" w:cs="宋体"/>
          <w:sz w:val="15"/>
          <w:szCs w:val="15"/>
          <w:shd w:val="clear" w:color="050000" w:fill="auto"/>
        </w:rPr>
      </w:pPr>
      <w:r>
        <w:rPr>
          <w:rFonts w:ascii="宋体" w:hAnsi="宋体" w:cs="宋体"/>
          <w:sz w:val="15"/>
          <w:szCs w:val="15"/>
          <w:shd w:val="clear" w:color="050000" w:fill="auto"/>
        </w:rPr>
        <w:t xml:space="preserve"> </w:t>
      </w:r>
      <w:r>
        <w:rPr>
          <w:rFonts w:hint="eastAsia" w:ascii="宋体" w:hAnsi="宋体" w:cs="宋体"/>
          <w:b/>
          <w:bCs/>
          <w:sz w:val="15"/>
          <w:szCs w:val="15"/>
          <w:shd w:val="clear" w:color="050000" w:fill="auto"/>
        </w:rPr>
        <w:t>倆项交易观点</w:t>
      </w:r>
      <w:r>
        <w:rPr>
          <w:rFonts w:hint="eastAsia" w:ascii="宋体" w:hAnsi="宋体" w:cs="宋体"/>
          <w:sz w:val="15"/>
          <w:szCs w:val="15"/>
          <w:shd w:val="clear" w:color="050000" w:fill="auto"/>
        </w:rPr>
        <w:t>两是指企业发生的购货销货业务以及以后的账款结算视为两笔交易外币业务按记账本位币的反应够成本或者销售收入取决于交易日的汇率</w:t>
      </w:r>
    </w:p>
    <w:p>
      <w:pPr>
        <w:spacing w:line="160" w:lineRule="exact"/>
        <w:jc w:val="left"/>
        <w:rPr>
          <w:rFonts w:ascii="宋体" w:cs="宋体"/>
          <w:sz w:val="15"/>
          <w:szCs w:val="15"/>
          <w:shd w:val="clear" w:color="050000" w:fill="auto"/>
        </w:rPr>
      </w:pPr>
      <w:r>
        <w:rPr>
          <w:rFonts w:hint="eastAsia" w:ascii="宋体" w:hAnsi="宋体" w:cs="宋体"/>
          <w:b/>
          <w:bCs/>
          <w:sz w:val="15"/>
          <w:szCs w:val="15"/>
          <w:shd w:val="clear" w:color="050000" w:fill="auto"/>
        </w:rPr>
        <w:t>俩项交易观点下有两种方法处理交易结算前汇兑损益</w:t>
      </w:r>
      <w:r>
        <w:rPr>
          <w:rFonts w:hint="eastAsia" w:ascii="宋体" w:hAnsi="宋体" w:cs="宋体"/>
          <w:sz w:val="15"/>
          <w:szCs w:val="15"/>
          <w:shd w:val="clear" w:color="050000" w:fill="auto"/>
        </w:rPr>
        <w:t>第一种方法是作为以实现的损益列入当期利润表第二种方法是作为未实现递延损益列入资产负债表直到交易结算时才作为以实现损益入账。</w:t>
      </w:r>
    </w:p>
    <w:p>
      <w:pPr>
        <w:spacing w:line="160" w:lineRule="exact"/>
        <w:jc w:val="left"/>
        <w:rPr>
          <w:rFonts w:ascii="宋体" w:cs="宋体"/>
          <w:sz w:val="15"/>
          <w:szCs w:val="15"/>
          <w:shd w:val="clear" w:color="050000" w:fill="auto"/>
        </w:rPr>
      </w:pPr>
      <w:r>
        <w:rPr>
          <w:rFonts w:hint="eastAsia" w:ascii="宋体" w:hAnsi="宋体" w:cs="宋体"/>
          <w:sz w:val="15"/>
          <w:szCs w:val="15"/>
          <w:shd w:val="clear" w:color="050000" w:fill="auto"/>
        </w:rPr>
        <w:t>两项交易观点被认为符合公认会计准则把汇率变动的影响确认为汇兑损益是较为恰当的，原则上采用两项交易观点的第一种方法单位完全排除第二种方法。</w:t>
      </w:r>
    </w:p>
    <w:p>
      <w:pPr>
        <w:spacing w:line="160" w:lineRule="exact"/>
        <w:jc w:val="left"/>
        <w:rPr>
          <w:rFonts w:ascii="宋体" w:cs="宋体"/>
          <w:sz w:val="15"/>
          <w:szCs w:val="15"/>
          <w:shd w:val="clear" w:color="050000" w:fill="auto"/>
        </w:rPr>
      </w:pPr>
      <w:r>
        <w:rPr>
          <w:rFonts w:hint="eastAsia" w:ascii="宋体" w:hAnsi="宋体" w:cs="宋体"/>
          <w:b/>
          <w:bCs/>
          <w:sz w:val="15"/>
          <w:szCs w:val="15"/>
          <w:shd w:val="clear" w:color="050000" w:fill="auto"/>
        </w:rPr>
        <w:t>我国外币交易的会计核算原则：</w:t>
      </w:r>
      <w:r>
        <w:rPr>
          <w:rFonts w:hint="eastAsia" w:ascii="宋体" w:hAnsi="宋体" w:cs="宋体"/>
          <w:sz w:val="15"/>
          <w:szCs w:val="15"/>
          <w:shd w:val="clear" w:color="050000" w:fill="auto"/>
        </w:rPr>
        <w:t>即期汇率通常是指当日中国人民银行公布的人民币外汇牌价的中间价，即期近似汇率是按照系统合理的方法确定的与交易发生日即期汇率近似的汇率通常是指当期平均汇率或加权平均汇率等。通常情况下企业应当采用即期汇率进行折算汇率波动不大的也可以采用按照系统合理的方法确定的以交易发生日即期汇率近似的汇率折算但前后各期应当采用相同的方法确定当期的近似汇率。收到护臂投资的账务处理。</w:t>
      </w:r>
      <w:r>
        <w:rPr>
          <w:rFonts w:ascii="宋体" w:hAnsi="宋体" w:cs="宋体"/>
          <w:sz w:val="15"/>
          <w:szCs w:val="15"/>
          <w:shd w:val="clear" w:color="050000" w:fill="auto"/>
        </w:rPr>
        <w:t>A</w:t>
      </w:r>
      <w:r>
        <w:rPr>
          <w:rFonts w:hint="eastAsia" w:ascii="宋体" w:hAnsi="宋体" w:cs="宋体"/>
          <w:sz w:val="15"/>
          <w:szCs w:val="15"/>
          <w:shd w:val="clear" w:color="050000" w:fill="auto"/>
        </w:rPr>
        <w:t>企业收到外币投资额僵硬出资人投人外币是治本折合为记账本位币记账确认实为资本账户的金额。在折合时，应当按交易发生日的即期汇率折算。</w:t>
      </w:r>
      <w:r>
        <w:rPr>
          <w:rFonts w:ascii="宋体" w:hAnsi="宋体" w:cs="宋体"/>
          <w:sz w:val="15"/>
          <w:szCs w:val="15"/>
          <w:shd w:val="clear" w:color="050000" w:fill="auto"/>
        </w:rPr>
        <w:t>B</w:t>
      </w:r>
      <w:r>
        <w:rPr>
          <w:rFonts w:hint="eastAsia" w:ascii="宋体" w:hAnsi="宋体" w:cs="宋体"/>
          <w:sz w:val="15"/>
          <w:szCs w:val="15"/>
          <w:shd w:val="clear" w:color="050000" w:fill="auto"/>
        </w:rPr>
        <w:t>企业外币筹资的主要渠道是银行借款，因此，企业发生的外汇借款业务，在会计上要进行正核算和监督。按短期借款核算账户的要求进行账户处理。</w:t>
      </w:r>
      <w:r>
        <w:rPr>
          <w:rFonts w:ascii="宋体" w:hAnsi="宋体" w:cs="宋体"/>
          <w:sz w:val="15"/>
          <w:szCs w:val="15"/>
          <w:shd w:val="clear" w:color="050000" w:fill="auto"/>
        </w:rPr>
        <w:t>C</w:t>
      </w:r>
      <w:r>
        <w:rPr>
          <w:rFonts w:hint="eastAsia" w:ascii="宋体" w:hAnsi="宋体" w:cs="宋体"/>
          <w:sz w:val="15"/>
          <w:szCs w:val="15"/>
          <w:shd w:val="clear" w:color="050000" w:fill="auto"/>
        </w:rPr>
        <w:t>结汇业务的账务处理，是企业想银行结汇，即指企业按规定卖出外汇，银行买进外汇并按其挂牌买入价将人民币对付给企业。企业记账时，应按实际收到的人民币金额，借记银行存款科目</w:t>
      </w:r>
      <w:r>
        <w:rPr>
          <w:rFonts w:ascii="宋体" w:hAnsi="宋体" w:cs="宋体"/>
          <w:sz w:val="15"/>
          <w:szCs w:val="15"/>
          <w:shd w:val="clear" w:color="050000" w:fill="auto"/>
        </w:rPr>
        <w:t xml:space="preserve"> </w:t>
      </w:r>
      <w:r>
        <w:rPr>
          <w:rFonts w:hint="eastAsia" w:ascii="宋体" w:hAnsi="宋体" w:cs="宋体"/>
          <w:sz w:val="15"/>
          <w:szCs w:val="15"/>
          <w:shd w:val="clear" w:color="050000" w:fill="auto"/>
        </w:rPr>
        <w:t>按实际想银行结售的外币金额与按即期汇率折合人民币金额，贷记有关账户；</w:t>
      </w:r>
      <w:r>
        <w:rPr>
          <w:rFonts w:ascii="宋体" w:hAnsi="宋体" w:cs="宋体"/>
          <w:sz w:val="15"/>
          <w:szCs w:val="15"/>
          <w:shd w:val="clear" w:color="050000" w:fill="auto"/>
        </w:rPr>
        <w:t xml:space="preserve"> </w:t>
      </w:r>
      <w:r>
        <w:rPr>
          <w:rFonts w:hint="eastAsia" w:ascii="宋体" w:hAnsi="宋体" w:cs="宋体"/>
          <w:sz w:val="15"/>
          <w:szCs w:val="15"/>
          <w:shd w:val="clear" w:color="050000" w:fill="auto"/>
        </w:rPr>
        <w:t>借贷方差额计入财务费用</w:t>
      </w:r>
      <w:r>
        <w:rPr>
          <w:rFonts w:ascii="宋体" w:cs="宋体"/>
          <w:sz w:val="15"/>
          <w:szCs w:val="15"/>
          <w:shd w:val="clear" w:color="050000" w:fill="auto"/>
        </w:rPr>
        <w:t>--</w:t>
      </w:r>
      <w:r>
        <w:rPr>
          <w:rFonts w:hint="eastAsia" w:ascii="宋体" w:hAnsi="宋体" w:cs="宋体"/>
          <w:sz w:val="15"/>
          <w:szCs w:val="15"/>
          <w:shd w:val="clear" w:color="050000" w:fill="auto"/>
        </w:rPr>
        <w:t>汇兑损益账户。付出外币业务的核算是企业外汇业务中的付汇业务，一般指收汇业务。售汇业务是企业想银行购买外汇，银行卖出外汇。银行售汇是按其挂牌卖出汇率想企业收人民币。企业实际支付的人民币金额与购入外汇按企业选定的市场汇率折合的人民币金额之间的差额计入汇兑损益。</w:t>
      </w:r>
      <w:r>
        <w:rPr>
          <w:rFonts w:ascii="宋体" w:hAnsi="宋体" w:cs="宋体"/>
          <w:sz w:val="15"/>
          <w:szCs w:val="15"/>
          <w:shd w:val="clear" w:color="050000" w:fill="auto"/>
        </w:rPr>
        <w:t xml:space="preserve"> </w:t>
      </w:r>
      <w:r>
        <w:rPr>
          <w:rFonts w:hint="eastAsia" w:ascii="宋体" w:hAnsi="宋体" w:cs="宋体"/>
          <w:sz w:val="15"/>
          <w:szCs w:val="15"/>
          <w:shd w:val="clear" w:color="050000" w:fill="auto"/>
        </w:rPr>
        <w:t>外币兑换业务的账务处理。当企业发红是呢过的外币讲义属于外币兑换业务或涉及外币兑换的交易事项，应当日以交易实际采用的汇率，即银行买入价或卖出价折算。</w:t>
      </w:r>
    </w:p>
    <w:p>
      <w:pPr>
        <w:spacing w:line="160" w:lineRule="exact"/>
        <w:jc w:val="left"/>
        <w:rPr>
          <w:rFonts w:ascii="宋体" w:cs="宋体"/>
          <w:sz w:val="15"/>
          <w:szCs w:val="15"/>
          <w:shd w:val="clear" w:color="050000" w:fill="auto"/>
        </w:rPr>
      </w:pPr>
      <w:r>
        <w:rPr>
          <w:rFonts w:hint="eastAsia" w:ascii="宋体" w:hAnsi="宋体" w:cs="宋体"/>
          <w:b/>
          <w:bCs/>
          <w:sz w:val="15"/>
          <w:szCs w:val="15"/>
          <w:shd w:val="clear" w:color="050000" w:fill="auto"/>
        </w:rPr>
        <w:t>外币财务报表的折算意义：</w:t>
      </w:r>
      <w:r>
        <w:rPr>
          <w:rFonts w:hint="eastAsia" w:ascii="宋体" w:hAnsi="宋体" w:cs="宋体"/>
          <w:sz w:val="15"/>
          <w:szCs w:val="15"/>
          <w:shd w:val="clear" w:color="050000" w:fill="auto"/>
        </w:rPr>
        <w:t>为反映一个企业集团的综合经营成果和财务状况，在年末或编制合并会计报表时，将对所属各企业的外币财务报表折算成由统一的记账本位币计量的财务报表，以及为了确定目的将一种货币表述的会计报表折算为一种货币表述的财务报表。</w:t>
      </w:r>
    </w:p>
    <w:p>
      <w:pPr>
        <w:spacing w:line="160" w:lineRule="exact"/>
        <w:jc w:val="left"/>
        <w:rPr>
          <w:rFonts w:ascii="宋体" w:cs="宋体"/>
          <w:sz w:val="15"/>
          <w:szCs w:val="15"/>
          <w:shd w:val="clear" w:color="050000" w:fill="auto"/>
        </w:rPr>
      </w:pPr>
      <w:r>
        <w:rPr>
          <w:rFonts w:hint="eastAsia" w:ascii="宋体" w:hAnsi="宋体" w:cs="宋体"/>
          <w:b/>
          <w:sz w:val="15"/>
          <w:szCs w:val="15"/>
          <w:shd w:val="clear" w:color="050000" w:fill="auto"/>
        </w:rPr>
        <w:t>在外币报表折算中，会计要处理如下问题</w:t>
      </w:r>
      <w:r>
        <w:rPr>
          <w:rFonts w:ascii="宋体" w:hAnsi="宋体" w:cs="宋体"/>
          <w:sz w:val="15"/>
          <w:szCs w:val="15"/>
          <w:shd w:val="clear" w:color="050000" w:fill="auto"/>
        </w:rPr>
        <w:t>1</w:t>
      </w:r>
      <w:r>
        <w:rPr>
          <w:rFonts w:hint="eastAsia" w:ascii="宋体" w:hAnsi="宋体" w:cs="宋体"/>
          <w:sz w:val="15"/>
          <w:szCs w:val="15"/>
          <w:shd w:val="clear" w:color="050000" w:fill="auto"/>
        </w:rPr>
        <w:t>选择外币报表的折算标准</w:t>
      </w:r>
      <w:r>
        <w:rPr>
          <w:rFonts w:ascii="宋体" w:hAnsi="宋体" w:cs="宋体"/>
          <w:sz w:val="15"/>
          <w:szCs w:val="15"/>
          <w:shd w:val="clear" w:color="050000" w:fill="auto"/>
        </w:rPr>
        <w:t>2</w:t>
      </w:r>
      <w:r>
        <w:rPr>
          <w:rFonts w:hint="eastAsia" w:ascii="宋体" w:hAnsi="宋体" w:cs="宋体"/>
          <w:sz w:val="15"/>
          <w:szCs w:val="15"/>
          <w:shd w:val="clear" w:color="050000" w:fill="auto"/>
        </w:rPr>
        <w:t>处理外币报表折算差额</w:t>
      </w:r>
      <w:r>
        <w:rPr>
          <w:rFonts w:ascii="宋体" w:hAnsi="宋体" w:cs="宋体"/>
          <w:sz w:val="15"/>
          <w:szCs w:val="15"/>
          <w:shd w:val="clear" w:color="050000" w:fill="auto"/>
        </w:rPr>
        <w:t xml:space="preserve">    </w:t>
      </w:r>
      <w:r>
        <w:rPr>
          <w:rFonts w:hint="eastAsia" w:ascii="宋体" w:hAnsi="宋体" w:cs="宋体"/>
          <w:sz w:val="15"/>
          <w:szCs w:val="15"/>
          <w:shd w:val="clear" w:color="050000" w:fill="auto"/>
        </w:rPr>
        <w:t>外币报表折算的主要方法主要有流动与非流动项目法、货币与非货币性项目法</w:t>
      </w:r>
      <w:r>
        <w:rPr>
          <w:rFonts w:ascii="宋体" w:cs="宋体"/>
          <w:sz w:val="15"/>
          <w:szCs w:val="15"/>
          <w:shd w:val="clear" w:color="050000" w:fill="auto"/>
        </w:rPr>
        <w:t>.</w:t>
      </w:r>
      <w:r>
        <w:rPr>
          <w:rFonts w:hint="eastAsia" w:ascii="宋体" w:hAnsi="宋体" w:cs="宋体"/>
          <w:sz w:val="15"/>
          <w:szCs w:val="15"/>
          <w:shd w:val="clear" w:color="050000" w:fill="auto"/>
        </w:rPr>
        <w:t>现行汇率发和时态法。</w:t>
      </w:r>
      <w:r>
        <w:rPr>
          <w:rFonts w:ascii="宋体" w:hAnsi="宋体" w:cs="宋体"/>
          <w:sz w:val="15"/>
          <w:szCs w:val="15"/>
          <w:shd w:val="clear" w:color="050000" w:fill="auto"/>
        </w:rPr>
        <w:t xml:space="preserve">  </w:t>
      </w:r>
      <w:r>
        <w:rPr>
          <w:rFonts w:hint="eastAsia" w:ascii="宋体" w:hAnsi="宋体" w:cs="宋体"/>
          <w:sz w:val="15"/>
          <w:szCs w:val="15"/>
          <w:shd w:val="clear" w:color="050000" w:fill="auto"/>
        </w:rPr>
        <w:t>货币性与非货币性项目法它是指将资产负债表的项目分为货币和非货币</w:t>
      </w:r>
      <w:r>
        <w:rPr>
          <w:rFonts w:ascii="宋体" w:hAnsi="宋体" w:cs="宋体"/>
          <w:sz w:val="15"/>
          <w:szCs w:val="15"/>
          <w:shd w:val="clear" w:color="050000" w:fill="auto"/>
        </w:rPr>
        <w:t>2</w:t>
      </w:r>
      <w:r>
        <w:rPr>
          <w:rFonts w:hint="eastAsia" w:ascii="宋体" w:hAnsi="宋体" w:cs="宋体"/>
          <w:sz w:val="15"/>
          <w:szCs w:val="15"/>
          <w:shd w:val="clear" w:color="050000" w:fill="auto"/>
        </w:rPr>
        <w:t>大类，折算外币报表时，对资产负债表上的货币性项目，按报表编制日的现行汇率折算；对非货币性项目及业主权益项目，按原入账的历史汇率折算。折旧，摊销费用、销货成本项目均按历史汇率折算，其他费用则按会计期内的平均汇率折算。</w:t>
      </w:r>
    </w:p>
    <w:p>
      <w:pPr>
        <w:spacing w:line="160" w:lineRule="exact"/>
        <w:jc w:val="left"/>
        <w:rPr>
          <w:rFonts w:ascii="宋体" w:cs="宋体"/>
          <w:sz w:val="15"/>
          <w:szCs w:val="15"/>
          <w:shd w:val="clear" w:color="050000" w:fill="auto"/>
        </w:rPr>
      </w:pPr>
      <w:r>
        <w:rPr>
          <w:rFonts w:hint="eastAsia" w:ascii="宋体" w:hAnsi="宋体" w:cs="宋体"/>
          <w:b/>
          <w:sz w:val="15"/>
          <w:szCs w:val="15"/>
          <w:shd w:val="clear" w:color="050000" w:fill="auto"/>
        </w:rPr>
        <w:t>现行汇率法：</w:t>
      </w:r>
      <w:r>
        <w:rPr>
          <w:rFonts w:hint="eastAsia" w:ascii="宋体" w:hAnsi="宋体" w:cs="宋体"/>
          <w:sz w:val="15"/>
          <w:szCs w:val="15"/>
          <w:shd w:val="clear" w:color="050000" w:fill="auto"/>
        </w:rPr>
        <w:t>它是将列在资产发债表中的所有外币资产项目和外币负债项目，均根据编制报表日的现行汇率（即期末汇率）进行折算，因而它是一种单一汇率法。</w:t>
      </w:r>
    </w:p>
    <w:p>
      <w:pPr>
        <w:spacing w:line="160" w:lineRule="exact"/>
        <w:jc w:val="left"/>
        <w:rPr>
          <w:rFonts w:ascii="宋体" w:cs="宋体"/>
          <w:sz w:val="15"/>
          <w:szCs w:val="15"/>
          <w:shd w:val="clear" w:color="050000" w:fill="auto"/>
        </w:rPr>
      </w:pPr>
      <w:r>
        <w:rPr>
          <w:rFonts w:hint="eastAsia" w:ascii="宋体" w:hAnsi="宋体" w:cs="宋体"/>
          <w:b/>
          <w:sz w:val="15"/>
          <w:szCs w:val="15"/>
          <w:shd w:val="clear" w:color="050000" w:fill="auto"/>
        </w:rPr>
        <w:t>时态发：</w:t>
      </w:r>
      <w:r>
        <w:rPr>
          <w:rFonts w:hint="eastAsia" w:ascii="宋体" w:hAnsi="宋体" w:cs="宋体"/>
          <w:sz w:val="15"/>
          <w:szCs w:val="15"/>
          <w:shd w:val="clear" w:color="050000" w:fill="auto"/>
        </w:rPr>
        <w:t>时态法是指</w:t>
      </w:r>
      <w:r>
        <w:rPr>
          <w:rFonts w:ascii="宋体" w:hAnsi="宋体" w:cs="宋体"/>
          <w:sz w:val="15"/>
          <w:szCs w:val="15"/>
          <w:shd w:val="clear" w:color="050000" w:fill="auto"/>
        </w:rPr>
        <w:t xml:space="preserve"> </w:t>
      </w:r>
      <w:r>
        <w:rPr>
          <w:rFonts w:hint="eastAsia" w:ascii="宋体" w:hAnsi="宋体" w:cs="宋体"/>
          <w:sz w:val="15"/>
          <w:szCs w:val="15"/>
          <w:shd w:val="clear" w:color="050000" w:fill="auto"/>
        </w:rPr>
        <w:t>要求现金应收和应付项目（包括流动与非流动的）按资产负债表编制日当事现行汇率换算，其他资产和负债则依其特性分别按现行护绿和历史汇率换算。</w:t>
      </w:r>
    </w:p>
    <w:p>
      <w:pPr>
        <w:spacing w:line="160" w:lineRule="exact"/>
        <w:jc w:val="left"/>
        <w:rPr>
          <w:rFonts w:ascii="宋体" w:cs="宋体"/>
          <w:sz w:val="15"/>
          <w:szCs w:val="15"/>
          <w:shd w:val="clear" w:color="050000" w:fill="auto"/>
        </w:rPr>
      </w:pPr>
      <w:r>
        <w:rPr>
          <w:rFonts w:hint="eastAsia" w:ascii="宋体" w:hAnsi="宋体" w:cs="宋体"/>
          <w:b/>
          <w:sz w:val="15"/>
          <w:szCs w:val="15"/>
          <w:shd w:val="clear" w:color="050000" w:fill="auto"/>
        </w:rPr>
        <w:t>时态原则认为：</w:t>
      </w:r>
      <w:r>
        <w:rPr>
          <w:rFonts w:hint="eastAsia" w:ascii="宋体" w:hAnsi="宋体" w:cs="宋体"/>
          <w:sz w:val="15"/>
          <w:szCs w:val="15"/>
          <w:shd w:val="clear" w:color="050000" w:fill="auto"/>
        </w:rPr>
        <w:t>监狱外币折算只是一种计量变换程序，是对既定将价值的重新表述。</w:t>
      </w:r>
    </w:p>
    <w:p>
      <w:pPr>
        <w:spacing w:line="160" w:lineRule="exact"/>
        <w:jc w:val="left"/>
        <w:rPr>
          <w:rFonts w:ascii="宋体" w:cs="宋体"/>
          <w:sz w:val="15"/>
          <w:szCs w:val="15"/>
          <w:shd w:val="clear" w:color="050000" w:fill="auto"/>
        </w:rPr>
      </w:pPr>
      <w:r>
        <w:rPr>
          <w:rFonts w:hint="eastAsia" w:ascii="宋体" w:hAnsi="宋体" w:cs="宋体"/>
          <w:b/>
          <w:sz w:val="15"/>
          <w:szCs w:val="15"/>
          <w:shd w:val="clear" w:color="050000" w:fill="auto"/>
        </w:rPr>
        <w:t>外币报表折算差额：</w:t>
      </w:r>
      <w:r>
        <w:rPr>
          <w:rFonts w:hint="eastAsia" w:ascii="宋体" w:hAnsi="宋体" w:cs="宋体"/>
          <w:sz w:val="15"/>
          <w:szCs w:val="15"/>
          <w:shd w:val="clear" w:color="050000" w:fill="auto"/>
        </w:rPr>
        <w:t>是指在报表折算过程中，对表上不同项目采用不同汇率折算而产生的差额，又称外币报表折算损益。</w:t>
      </w:r>
    </w:p>
    <w:p>
      <w:pPr>
        <w:spacing w:line="160" w:lineRule="exact"/>
        <w:jc w:val="left"/>
        <w:rPr>
          <w:rFonts w:ascii="宋体" w:cs="宋体"/>
          <w:sz w:val="15"/>
          <w:szCs w:val="15"/>
          <w:shd w:val="clear" w:color="050000" w:fill="auto"/>
        </w:rPr>
      </w:pPr>
      <w:r>
        <w:rPr>
          <w:rFonts w:hint="eastAsia" w:ascii="宋体" w:hAnsi="宋体" w:cs="宋体"/>
          <w:sz w:val="15"/>
          <w:szCs w:val="15"/>
          <w:shd w:val="clear" w:color="050000" w:fill="auto"/>
        </w:rPr>
        <w:t>阐述我过企业境外经营资产负债表折算的一般原则：</w:t>
      </w:r>
      <w:r>
        <w:rPr>
          <w:rFonts w:ascii="宋体" w:hAnsi="宋体" w:cs="宋体"/>
          <w:sz w:val="15"/>
          <w:szCs w:val="15"/>
          <w:shd w:val="clear" w:color="050000" w:fill="auto"/>
        </w:rPr>
        <w:t>1</w:t>
      </w:r>
      <w:r>
        <w:rPr>
          <w:rFonts w:hint="eastAsia" w:ascii="宋体" w:hAnsi="宋体" w:cs="宋体"/>
          <w:sz w:val="15"/>
          <w:szCs w:val="15"/>
          <w:shd w:val="clear" w:color="050000" w:fill="auto"/>
        </w:rPr>
        <w:t>、资产负债表中的资产和负债项目，采用资产负债表日的即期汇率折算；</w:t>
      </w:r>
      <w:r>
        <w:rPr>
          <w:rFonts w:ascii="宋体" w:hAnsi="宋体" w:cs="宋体"/>
          <w:sz w:val="15"/>
          <w:szCs w:val="15"/>
          <w:shd w:val="clear" w:color="050000" w:fill="auto"/>
        </w:rPr>
        <w:t>2</w:t>
      </w:r>
      <w:r>
        <w:rPr>
          <w:rFonts w:hint="eastAsia" w:ascii="宋体" w:hAnsi="宋体" w:cs="宋体"/>
          <w:sz w:val="15"/>
          <w:szCs w:val="15"/>
          <w:shd w:val="clear" w:color="050000" w:fill="auto"/>
        </w:rPr>
        <w:t>、利润表中的收入和费用项目，采用交易发生日的即期汇率折算；</w:t>
      </w:r>
      <w:r>
        <w:rPr>
          <w:rFonts w:ascii="宋体" w:hAnsi="宋体" w:cs="宋体"/>
          <w:sz w:val="15"/>
          <w:szCs w:val="15"/>
          <w:shd w:val="clear" w:color="050000" w:fill="auto"/>
        </w:rPr>
        <w:t>3</w:t>
      </w:r>
      <w:r>
        <w:rPr>
          <w:rFonts w:hint="eastAsia" w:ascii="宋体" w:hAnsi="宋体" w:cs="宋体"/>
          <w:sz w:val="15"/>
          <w:szCs w:val="15"/>
          <w:shd w:val="clear" w:color="050000" w:fill="auto"/>
        </w:rPr>
        <w:t>、上述折算所产生的外币财务报表折算差额，在资产负债表中所有者权益项目下单独列示。</w:t>
      </w:r>
    </w:p>
    <w:p>
      <w:pPr>
        <w:spacing w:line="160" w:lineRule="exact"/>
        <w:jc w:val="left"/>
        <w:rPr>
          <w:rFonts w:ascii="宋体" w:cs="宋体"/>
          <w:sz w:val="15"/>
          <w:szCs w:val="15"/>
          <w:shd w:val="clear" w:color="050000" w:fill="auto"/>
        </w:rPr>
      </w:pPr>
      <w:r>
        <w:rPr>
          <w:rFonts w:hint="eastAsia" w:ascii="宋体" w:hAnsi="宋体" w:cs="宋体"/>
          <w:b/>
          <w:sz w:val="15"/>
          <w:szCs w:val="15"/>
          <w:shd w:val="clear" w:color="050000" w:fill="auto"/>
        </w:rPr>
        <w:t>例题：</w:t>
      </w:r>
      <w:r>
        <w:rPr>
          <w:rFonts w:hint="eastAsia" w:ascii="宋体" w:hAnsi="宋体" w:cs="宋体"/>
          <w:sz w:val="15"/>
          <w:szCs w:val="15"/>
          <w:shd w:val="clear" w:color="050000" w:fill="auto"/>
        </w:rPr>
        <w:t>大众公司收到境外全资子公司中裕公司以美元表示的财务报表。设中裕公司由打中公司本期期初投资的，共投资</w:t>
      </w:r>
      <w:r>
        <w:rPr>
          <w:rFonts w:ascii="宋体" w:hAnsi="宋体" w:cs="宋体"/>
          <w:sz w:val="15"/>
          <w:szCs w:val="15"/>
          <w:shd w:val="clear" w:color="050000" w:fill="auto"/>
        </w:rPr>
        <w:t>1600000</w:t>
      </w:r>
      <w:r>
        <w:rPr>
          <w:rFonts w:hint="eastAsia" w:ascii="宋体" w:hAnsi="宋体" w:cs="宋体"/>
          <w:sz w:val="15"/>
          <w:szCs w:val="15"/>
          <w:shd w:val="clear" w:color="050000" w:fill="auto"/>
        </w:rPr>
        <w:t>元人民币，期初汇率</w:t>
      </w:r>
      <w:r>
        <w:rPr>
          <w:rFonts w:ascii="宋体" w:hAnsi="宋体" w:cs="宋体"/>
          <w:sz w:val="15"/>
          <w:szCs w:val="15"/>
          <w:shd w:val="clear" w:color="050000" w:fill="auto"/>
        </w:rPr>
        <w:t>USD1=RMB8</w:t>
      </w:r>
      <w:r>
        <w:rPr>
          <w:rFonts w:hint="eastAsia" w:ascii="宋体" w:hAnsi="宋体" w:cs="宋体"/>
          <w:sz w:val="15"/>
          <w:szCs w:val="15"/>
          <w:shd w:val="clear" w:color="050000" w:fill="auto"/>
        </w:rPr>
        <w:t>，期末汇率</w:t>
      </w:r>
      <w:r>
        <w:rPr>
          <w:rFonts w:ascii="宋体" w:hAnsi="宋体" w:cs="宋体"/>
          <w:sz w:val="15"/>
          <w:szCs w:val="15"/>
          <w:shd w:val="clear" w:color="050000" w:fill="auto"/>
        </w:rPr>
        <w:t>USD1=RMB8.6</w:t>
      </w:r>
      <w:r>
        <w:rPr>
          <w:rFonts w:hint="eastAsia" w:ascii="宋体" w:hAnsi="宋体" w:cs="宋体"/>
          <w:sz w:val="15"/>
          <w:szCs w:val="15"/>
          <w:shd w:val="clear" w:color="050000" w:fill="auto"/>
        </w:rPr>
        <w:t>，改期平均汇率</w:t>
      </w:r>
      <w:r>
        <w:rPr>
          <w:rFonts w:ascii="宋体" w:hAnsi="宋体" w:cs="宋体"/>
          <w:sz w:val="15"/>
          <w:szCs w:val="15"/>
          <w:shd w:val="clear" w:color="050000" w:fill="auto"/>
        </w:rPr>
        <w:t>USD1=RMB8.3</w:t>
      </w:r>
      <w:r>
        <w:rPr>
          <w:rFonts w:hint="eastAsia" w:ascii="宋体" w:hAnsi="宋体" w:cs="宋体"/>
          <w:sz w:val="15"/>
          <w:szCs w:val="15"/>
          <w:shd w:val="clear" w:color="050000" w:fill="auto"/>
        </w:rPr>
        <w:t>，中裕公司用美元表示的利润表件表</w:t>
      </w:r>
      <w:r>
        <w:rPr>
          <w:rFonts w:ascii="宋体" w:hAnsi="宋体" w:cs="宋体"/>
          <w:sz w:val="15"/>
          <w:szCs w:val="15"/>
          <w:shd w:val="clear" w:color="050000" w:fill="auto"/>
        </w:rPr>
        <w:t>1-8</w:t>
      </w:r>
      <w:r>
        <w:rPr>
          <w:rFonts w:hint="eastAsia" w:ascii="宋体" w:hAnsi="宋体" w:cs="宋体"/>
          <w:sz w:val="15"/>
          <w:szCs w:val="15"/>
          <w:shd w:val="clear" w:color="050000" w:fill="auto"/>
        </w:rPr>
        <w:t>、资产负债表见表</w:t>
      </w:r>
      <w:r>
        <w:rPr>
          <w:rFonts w:ascii="宋体" w:hAnsi="宋体" w:cs="宋体"/>
          <w:sz w:val="15"/>
          <w:szCs w:val="15"/>
          <w:shd w:val="clear" w:color="050000" w:fill="auto"/>
        </w:rPr>
        <w:t>1-10</w:t>
      </w:r>
      <w:r>
        <w:rPr>
          <w:rFonts w:hint="eastAsia" w:ascii="宋体" w:hAnsi="宋体" w:cs="宋体"/>
          <w:sz w:val="15"/>
          <w:szCs w:val="15"/>
          <w:shd w:val="clear" w:color="050000" w:fill="auto"/>
        </w:rPr>
        <w:t>，折算后人民币表示利润表见表</w:t>
      </w:r>
      <w:r>
        <w:rPr>
          <w:rFonts w:ascii="宋体" w:hAnsi="宋体" w:cs="宋体"/>
          <w:sz w:val="15"/>
          <w:szCs w:val="15"/>
          <w:shd w:val="clear" w:color="050000" w:fill="auto"/>
        </w:rPr>
        <w:t>1-9</w:t>
      </w:r>
      <w:r>
        <w:rPr>
          <w:rFonts w:hint="eastAsia" w:ascii="宋体" w:hAnsi="宋体" w:cs="宋体"/>
          <w:sz w:val="15"/>
          <w:szCs w:val="15"/>
          <w:shd w:val="clear" w:color="050000" w:fill="auto"/>
        </w:rPr>
        <w:t>、资产负债表见表</w:t>
      </w:r>
      <w:r>
        <w:rPr>
          <w:rFonts w:ascii="宋体" w:hAnsi="宋体" w:cs="宋体"/>
          <w:sz w:val="15"/>
          <w:szCs w:val="15"/>
          <w:shd w:val="clear" w:color="050000" w:fill="auto"/>
        </w:rPr>
        <w:t>1-11.</w:t>
      </w:r>
      <w:r>
        <w:rPr>
          <w:rFonts w:hint="eastAsia" w:ascii="宋体" w:hAnsi="宋体" w:cs="宋体"/>
          <w:sz w:val="15"/>
          <w:szCs w:val="15"/>
          <w:shd w:val="clear" w:color="050000" w:fill="auto"/>
        </w:rPr>
        <w:t>外币利润表各项目的折算如下：表中“营业利润”，“利润总额”、“净利润”需经计算得出，其他项目均按实际发生的美元数乘以平均利率</w:t>
      </w:r>
      <w:r>
        <w:rPr>
          <w:rFonts w:ascii="宋体" w:hAnsi="宋体" w:cs="宋体"/>
          <w:sz w:val="15"/>
          <w:szCs w:val="15"/>
          <w:shd w:val="clear" w:color="050000" w:fill="auto"/>
        </w:rPr>
        <w:t>UAS1=RMB8.3</w:t>
      </w:r>
      <w:r>
        <w:rPr>
          <w:rFonts w:hint="eastAsia" w:ascii="宋体" w:hAnsi="宋体" w:cs="宋体"/>
          <w:sz w:val="15"/>
          <w:szCs w:val="15"/>
          <w:shd w:val="clear" w:color="050000" w:fill="auto"/>
        </w:rPr>
        <w:t>折合为相应的人民币。具体如下：</w:t>
      </w:r>
      <w:r>
        <w:rPr>
          <w:rFonts w:ascii="宋体" w:hAnsi="宋体" w:cs="宋体"/>
          <w:sz w:val="15"/>
          <w:szCs w:val="15"/>
          <w:shd w:val="clear" w:color="050000" w:fill="auto"/>
        </w:rPr>
        <w:t xml:space="preserve"> 1</w:t>
      </w:r>
      <w:r>
        <w:rPr>
          <w:rFonts w:hint="eastAsia" w:ascii="宋体" w:hAnsi="宋体" w:cs="宋体"/>
          <w:sz w:val="15"/>
          <w:szCs w:val="15"/>
          <w:shd w:val="clear" w:color="050000" w:fill="auto"/>
        </w:rPr>
        <w:t>、营业收入：</w:t>
      </w:r>
      <w:r>
        <w:rPr>
          <w:rFonts w:ascii="宋体" w:hAnsi="宋体" w:cs="宋体"/>
          <w:sz w:val="15"/>
          <w:szCs w:val="15"/>
          <w:shd w:val="clear" w:color="050000" w:fill="auto"/>
        </w:rPr>
        <w:t>20000000 * 8.3=166000000</w:t>
      </w:r>
      <w:r>
        <w:rPr>
          <w:rFonts w:hint="eastAsia" w:ascii="宋体" w:hAnsi="宋体" w:cs="宋体"/>
          <w:sz w:val="15"/>
          <w:szCs w:val="15"/>
          <w:shd w:val="clear" w:color="050000" w:fill="auto"/>
        </w:rPr>
        <w:t>（元）</w:t>
      </w:r>
    </w:p>
    <w:p>
      <w:pPr>
        <w:spacing w:line="160" w:lineRule="exact"/>
        <w:jc w:val="left"/>
        <w:rPr>
          <w:rFonts w:ascii="宋体" w:cs="宋体"/>
          <w:sz w:val="15"/>
          <w:szCs w:val="15"/>
          <w:shd w:val="clear" w:color="050000" w:fill="auto"/>
        </w:rPr>
      </w:pPr>
      <w:r>
        <w:rPr>
          <w:rFonts w:ascii="宋体" w:hAnsi="宋体" w:cs="宋体"/>
          <w:sz w:val="15"/>
          <w:szCs w:val="15"/>
          <w:shd w:val="clear" w:color="050000" w:fill="auto"/>
        </w:rPr>
        <w:t xml:space="preserve">   </w:t>
      </w:r>
      <w:r>
        <w:rPr>
          <w:rFonts w:hint="eastAsia" w:ascii="宋体" w:hAnsi="宋体" w:cs="宋体"/>
          <w:sz w:val="15"/>
          <w:szCs w:val="15"/>
          <w:shd w:val="clear" w:color="050000" w:fill="auto"/>
        </w:rPr>
        <w:t>营业成本：</w:t>
      </w:r>
      <w:r>
        <w:rPr>
          <w:rFonts w:ascii="宋体" w:hAnsi="宋体" w:cs="宋体"/>
          <w:sz w:val="15"/>
          <w:szCs w:val="15"/>
          <w:shd w:val="clear" w:color="050000" w:fill="auto"/>
        </w:rPr>
        <w:t xml:space="preserve">16000000 * 8.3=132800000 </w:t>
      </w:r>
      <w:r>
        <w:rPr>
          <w:rFonts w:hint="eastAsia" w:ascii="宋体" w:hAnsi="宋体" w:cs="宋体"/>
          <w:sz w:val="15"/>
          <w:szCs w:val="15"/>
          <w:shd w:val="clear" w:color="050000" w:fill="auto"/>
        </w:rPr>
        <w:t>（元）</w:t>
      </w:r>
    </w:p>
    <w:p>
      <w:pPr>
        <w:numPr>
          <w:ilvl w:val="0"/>
          <w:numId w:val="1"/>
        </w:numPr>
        <w:spacing w:line="160" w:lineRule="exact"/>
        <w:jc w:val="left"/>
        <w:rPr>
          <w:rFonts w:ascii="宋体" w:cs="宋体"/>
          <w:sz w:val="15"/>
          <w:szCs w:val="15"/>
          <w:shd w:val="clear" w:color="050000" w:fill="auto"/>
        </w:rPr>
      </w:pPr>
      <w:r>
        <w:rPr>
          <w:rFonts w:hint="eastAsia" w:ascii="宋体" w:hAnsi="宋体" w:cs="宋体"/>
          <w:sz w:val="15"/>
          <w:szCs w:val="15"/>
          <w:shd w:val="clear" w:color="050000" w:fill="auto"/>
        </w:rPr>
        <w:t>管理费用：</w:t>
      </w:r>
      <w:r>
        <w:rPr>
          <w:rFonts w:ascii="宋体" w:hAnsi="宋体" w:cs="宋体"/>
          <w:sz w:val="15"/>
          <w:szCs w:val="15"/>
          <w:shd w:val="clear" w:color="050000" w:fill="auto"/>
        </w:rPr>
        <w:t xml:space="preserve">1000000 * 8.3=8300000 </w:t>
      </w:r>
      <w:r>
        <w:rPr>
          <w:rFonts w:hint="eastAsia" w:ascii="宋体" w:hAnsi="宋体" w:cs="宋体"/>
          <w:sz w:val="15"/>
          <w:szCs w:val="15"/>
          <w:shd w:val="clear" w:color="050000" w:fill="auto"/>
        </w:rPr>
        <w:t>（元）</w:t>
      </w:r>
    </w:p>
    <w:p>
      <w:pPr>
        <w:spacing w:line="160" w:lineRule="exact"/>
        <w:jc w:val="left"/>
        <w:rPr>
          <w:rFonts w:ascii="宋体" w:cs="宋体"/>
          <w:sz w:val="15"/>
          <w:szCs w:val="15"/>
          <w:shd w:val="clear" w:color="050000" w:fill="auto"/>
        </w:rPr>
      </w:pPr>
      <w:r>
        <w:rPr>
          <w:rFonts w:ascii="宋体" w:hAnsi="宋体" w:cs="宋体"/>
          <w:sz w:val="15"/>
          <w:szCs w:val="15"/>
          <w:shd w:val="clear" w:color="050000" w:fill="auto"/>
        </w:rPr>
        <w:t xml:space="preserve">   </w:t>
      </w:r>
      <w:r>
        <w:rPr>
          <w:rFonts w:hint="eastAsia" w:ascii="宋体" w:hAnsi="宋体" w:cs="宋体"/>
          <w:sz w:val="15"/>
          <w:szCs w:val="15"/>
          <w:shd w:val="clear" w:color="050000" w:fill="auto"/>
        </w:rPr>
        <w:t>财务成本：</w:t>
      </w:r>
      <w:r>
        <w:rPr>
          <w:rFonts w:ascii="宋体" w:hAnsi="宋体" w:cs="宋体"/>
          <w:sz w:val="15"/>
          <w:szCs w:val="15"/>
          <w:shd w:val="clear" w:color="050000" w:fill="auto"/>
        </w:rPr>
        <w:t xml:space="preserve">400000 * 8.3=3320000 </w:t>
      </w:r>
      <w:r>
        <w:rPr>
          <w:rFonts w:hint="eastAsia" w:ascii="宋体" w:hAnsi="宋体" w:cs="宋体"/>
          <w:sz w:val="15"/>
          <w:szCs w:val="15"/>
          <w:shd w:val="clear" w:color="050000" w:fill="auto"/>
        </w:rPr>
        <w:t>（元）</w:t>
      </w:r>
    </w:p>
    <w:tbl>
      <w:tblPr>
        <w:tblStyle w:val="5"/>
        <w:tblpPr w:leftFromText="180" w:rightFromText="180" w:vertAnchor="text" w:horzAnchor="page" w:tblpX="8344" w:tblpY="227"/>
        <w:tblOverlap w:val="never"/>
        <w:tblW w:w="243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5" w:type="dxa"/>
          <w:bottom w:w="0" w:type="dxa"/>
          <w:right w:w="15" w:type="dxa"/>
        </w:tblCellMar>
      </w:tblPr>
      <w:tblGrid>
        <w:gridCol w:w="1233"/>
        <w:gridCol w:w="12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5" w:type="dxa"/>
            <w:bottom w:w="0" w:type="dxa"/>
            <w:right w:w="15" w:type="dxa"/>
          </w:tblCellMar>
        </w:tblPrEx>
        <w:trPr>
          <w:trHeight w:val="170" w:hRule="atLeast"/>
        </w:trPr>
        <w:tc>
          <w:tcPr>
            <w:tcW w:w="2433" w:type="dxa"/>
            <w:gridSpan w:val="2"/>
            <w:vAlign w:val="center"/>
          </w:tcPr>
          <w:p>
            <w:pPr>
              <w:autoSpaceDN w:val="0"/>
              <w:spacing w:line="240" w:lineRule="exact"/>
              <w:jc w:val="center"/>
              <w:textAlignment w:val="center"/>
              <w:rPr>
                <w:rFonts w:ascii="宋体"/>
                <w:color w:val="000000"/>
                <w:sz w:val="15"/>
                <w:szCs w:val="15"/>
              </w:rPr>
            </w:pPr>
            <w:r>
              <w:rPr>
                <w:rFonts w:hint="eastAsia" w:ascii="宋体" w:hAnsi="宋体"/>
                <w:color w:val="000000"/>
                <w:sz w:val="15"/>
                <w:szCs w:val="15"/>
              </w:rPr>
              <w:t>利润表（美元）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5" w:type="dxa"/>
            <w:bottom w:w="0" w:type="dxa"/>
            <w:right w:w="15" w:type="dxa"/>
          </w:tblCellMar>
        </w:tblPrEx>
        <w:trPr>
          <w:trHeight w:val="170" w:hRule="atLeast"/>
        </w:trPr>
        <w:tc>
          <w:tcPr>
            <w:tcW w:w="1233" w:type="dxa"/>
            <w:vAlign w:val="center"/>
          </w:tcPr>
          <w:p>
            <w:pPr>
              <w:autoSpaceDN w:val="0"/>
              <w:spacing w:line="240" w:lineRule="exact"/>
              <w:jc w:val="center"/>
              <w:textAlignment w:val="center"/>
              <w:rPr>
                <w:rFonts w:ascii="宋体"/>
                <w:color w:val="000000"/>
                <w:sz w:val="15"/>
                <w:szCs w:val="15"/>
              </w:rPr>
            </w:pPr>
            <w:r>
              <w:rPr>
                <w:rFonts w:hint="eastAsia" w:ascii="宋体" w:hAnsi="宋体"/>
                <w:color w:val="000000"/>
                <w:sz w:val="15"/>
                <w:szCs w:val="15"/>
              </w:rPr>
              <w:t>项目</w:t>
            </w:r>
          </w:p>
        </w:tc>
        <w:tc>
          <w:tcPr>
            <w:tcW w:w="1200" w:type="dxa"/>
            <w:vAlign w:val="center"/>
          </w:tcPr>
          <w:p>
            <w:pPr>
              <w:autoSpaceDN w:val="0"/>
              <w:spacing w:line="240" w:lineRule="exact"/>
              <w:jc w:val="center"/>
              <w:textAlignment w:val="center"/>
              <w:rPr>
                <w:rFonts w:ascii="宋体"/>
                <w:color w:val="000000"/>
                <w:sz w:val="15"/>
                <w:szCs w:val="15"/>
              </w:rPr>
            </w:pPr>
            <w:r>
              <w:rPr>
                <w:rFonts w:hint="eastAsia" w:ascii="宋体" w:hAnsi="宋体"/>
                <w:color w:val="000000"/>
                <w:sz w:val="15"/>
                <w:szCs w:val="15"/>
              </w:rPr>
              <w:t>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5" w:type="dxa"/>
            <w:bottom w:w="0" w:type="dxa"/>
            <w:right w:w="15" w:type="dxa"/>
          </w:tblCellMar>
        </w:tblPrEx>
        <w:trPr>
          <w:trHeight w:val="170" w:hRule="atLeast"/>
        </w:trPr>
        <w:tc>
          <w:tcPr>
            <w:tcW w:w="1233" w:type="dxa"/>
            <w:vAlign w:val="center"/>
          </w:tcPr>
          <w:p>
            <w:pPr>
              <w:autoSpaceDN w:val="0"/>
              <w:spacing w:line="240" w:lineRule="exact"/>
              <w:jc w:val="left"/>
              <w:textAlignment w:val="center"/>
              <w:rPr>
                <w:rFonts w:ascii="宋体"/>
                <w:color w:val="000000"/>
                <w:sz w:val="15"/>
                <w:szCs w:val="15"/>
              </w:rPr>
            </w:pPr>
            <w:r>
              <w:rPr>
                <w:rFonts w:hint="eastAsia" w:ascii="宋体" w:hAnsi="宋体"/>
                <w:color w:val="000000"/>
                <w:sz w:val="15"/>
                <w:szCs w:val="15"/>
              </w:rPr>
              <w:t>营业收入</w:t>
            </w:r>
          </w:p>
        </w:tc>
        <w:tc>
          <w:tcPr>
            <w:tcW w:w="1200" w:type="dxa"/>
            <w:vAlign w:val="center"/>
          </w:tcPr>
          <w:p>
            <w:pPr>
              <w:autoSpaceDN w:val="0"/>
              <w:spacing w:line="240" w:lineRule="exact"/>
              <w:jc w:val="left"/>
              <w:textAlignment w:val="center"/>
              <w:rPr>
                <w:rFonts w:ascii="宋体"/>
                <w:color w:val="000000"/>
                <w:sz w:val="15"/>
                <w:szCs w:val="15"/>
              </w:rPr>
            </w:pPr>
            <w:r>
              <w:rPr>
                <w:rFonts w:ascii="宋体" w:hAnsi="宋体"/>
                <w:color w:val="000000"/>
                <w:sz w:val="15"/>
                <w:szCs w:val="15"/>
              </w:rPr>
              <w:t xml:space="preserve">20,000,000.00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5" w:type="dxa"/>
            <w:bottom w:w="0" w:type="dxa"/>
            <w:right w:w="15" w:type="dxa"/>
          </w:tblCellMar>
        </w:tblPrEx>
        <w:trPr>
          <w:trHeight w:val="170" w:hRule="atLeast"/>
        </w:trPr>
        <w:tc>
          <w:tcPr>
            <w:tcW w:w="1233" w:type="dxa"/>
            <w:vAlign w:val="center"/>
          </w:tcPr>
          <w:p>
            <w:pPr>
              <w:autoSpaceDN w:val="0"/>
              <w:spacing w:line="240" w:lineRule="exact"/>
              <w:jc w:val="left"/>
              <w:textAlignment w:val="center"/>
              <w:rPr>
                <w:rFonts w:ascii="宋体"/>
                <w:color w:val="000000"/>
                <w:sz w:val="15"/>
                <w:szCs w:val="15"/>
              </w:rPr>
            </w:pPr>
            <w:r>
              <w:rPr>
                <w:rFonts w:hint="eastAsia" w:ascii="宋体" w:hAnsi="宋体"/>
                <w:color w:val="000000"/>
                <w:sz w:val="15"/>
                <w:szCs w:val="15"/>
              </w:rPr>
              <w:t>减：营业成本</w:t>
            </w:r>
          </w:p>
        </w:tc>
        <w:tc>
          <w:tcPr>
            <w:tcW w:w="1200" w:type="dxa"/>
            <w:vAlign w:val="center"/>
          </w:tcPr>
          <w:p>
            <w:pPr>
              <w:autoSpaceDN w:val="0"/>
              <w:spacing w:line="240" w:lineRule="exact"/>
              <w:jc w:val="left"/>
              <w:textAlignment w:val="center"/>
              <w:rPr>
                <w:rFonts w:ascii="宋体"/>
                <w:color w:val="000000"/>
                <w:sz w:val="15"/>
                <w:szCs w:val="15"/>
              </w:rPr>
            </w:pPr>
            <w:r>
              <w:rPr>
                <w:rFonts w:ascii="宋体" w:hAnsi="宋体"/>
                <w:color w:val="000000"/>
                <w:sz w:val="15"/>
                <w:szCs w:val="15"/>
              </w:rPr>
              <w:t xml:space="preserve">16,000,000.00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5" w:type="dxa"/>
            <w:bottom w:w="0" w:type="dxa"/>
            <w:right w:w="15" w:type="dxa"/>
          </w:tblCellMar>
        </w:tblPrEx>
        <w:trPr>
          <w:trHeight w:val="170" w:hRule="atLeast"/>
        </w:trPr>
        <w:tc>
          <w:tcPr>
            <w:tcW w:w="1233" w:type="dxa"/>
            <w:vAlign w:val="center"/>
          </w:tcPr>
          <w:p>
            <w:pPr>
              <w:autoSpaceDN w:val="0"/>
              <w:spacing w:line="240" w:lineRule="exact"/>
              <w:jc w:val="left"/>
              <w:textAlignment w:val="center"/>
              <w:rPr>
                <w:rFonts w:ascii="宋体"/>
                <w:color w:val="000000"/>
                <w:sz w:val="15"/>
                <w:szCs w:val="15"/>
              </w:rPr>
            </w:pPr>
            <w:r>
              <w:rPr>
                <w:rFonts w:hint="eastAsia" w:ascii="宋体" w:hAnsi="宋体"/>
                <w:color w:val="000000"/>
                <w:sz w:val="15"/>
                <w:szCs w:val="15"/>
              </w:rPr>
              <w:t>减：管理费用</w:t>
            </w:r>
          </w:p>
        </w:tc>
        <w:tc>
          <w:tcPr>
            <w:tcW w:w="1200" w:type="dxa"/>
            <w:vAlign w:val="center"/>
          </w:tcPr>
          <w:p>
            <w:pPr>
              <w:autoSpaceDN w:val="0"/>
              <w:spacing w:line="240" w:lineRule="exact"/>
              <w:jc w:val="left"/>
              <w:textAlignment w:val="center"/>
              <w:rPr>
                <w:rFonts w:ascii="宋体"/>
                <w:color w:val="000000"/>
                <w:sz w:val="15"/>
                <w:szCs w:val="15"/>
              </w:rPr>
            </w:pPr>
            <w:r>
              <w:rPr>
                <w:rFonts w:ascii="宋体" w:hAnsi="宋体"/>
                <w:color w:val="000000"/>
                <w:sz w:val="15"/>
                <w:szCs w:val="15"/>
              </w:rPr>
              <w:t xml:space="preserve">1,000,000.00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5" w:type="dxa"/>
            <w:bottom w:w="0" w:type="dxa"/>
            <w:right w:w="15" w:type="dxa"/>
          </w:tblCellMar>
        </w:tblPrEx>
        <w:trPr>
          <w:trHeight w:val="170" w:hRule="atLeast"/>
        </w:trPr>
        <w:tc>
          <w:tcPr>
            <w:tcW w:w="1233" w:type="dxa"/>
            <w:vAlign w:val="center"/>
          </w:tcPr>
          <w:p>
            <w:pPr>
              <w:autoSpaceDN w:val="0"/>
              <w:spacing w:line="240" w:lineRule="exact"/>
              <w:jc w:val="left"/>
              <w:textAlignment w:val="center"/>
              <w:rPr>
                <w:rFonts w:ascii="宋体"/>
                <w:color w:val="000000"/>
                <w:sz w:val="15"/>
                <w:szCs w:val="15"/>
              </w:rPr>
            </w:pPr>
            <w:r>
              <w:rPr>
                <w:rFonts w:hint="eastAsia" w:ascii="宋体" w:hAnsi="宋体"/>
                <w:color w:val="000000"/>
                <w:sz w:val="15"/>
                <w:szCs w:val="15"/>
              </w:rPr>
              <w:t>减：财务费用</w:t>
            </w:r>
          </w:p>
        </w:tc>
        <w:tc>
          <w:tcPr>
            <w:tcW w:w="1200" w:type="dxa"/>
            <w:vAlign w:val="center"/>
          </w:tcPr>
          <w:p>
            <w:pPr>
              <w:autoSpaceDN w:val="0"/>
              <w:spacing w:line="240" w:lineRule="exact"/>
              <w:jc w:val="left"/>
              <w:textAlignment w:val="center"/>
              <w:rPr>
                <w:rFonts w:ascii="宋体"/>
                <w:color w:val="000000"/>
                <w:sz w:val="15"/>
                <w:szCs w:val="15"/>
              </w:rPr>
            </w:pPr>
            <w:r>
              <w:rPr>
                <w:rFonts w:ascii="宋体" w:hAnsi="宋体"/>
                <w:color w:val="000000"/>
                <w:sz w:val="15"/>
                <w:szCs w:val="15"/>
              </w:rPr>
              <w:t xml:space="preserve">400,000.00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5" w:type="dxa"/>
            <w:bottom w:w="0" w:type="dxa"/>
            <w:right w:w="15" w:type="dxa"/>
          </w:tblCellMar>
        </w:tblPrEx>
        <w:trPr>
          <w:trHeight w:val="170" w:hRule="atLeast"/>
        </w:trPr>
        <w:tc>
          <w:tcPr>
            <w:tcW w:w="1233" w:type="dxa"/>
            <w:vAlign w:val="center"/>
          </w:tcPr>
          <w:p>
            <w:pPr>
              <w:autoSpaceDN w:val="0"/>
              <w:spacing w:line="240" w:lineRule="exact"/>
              <w:jc w:val="left"/>
              <w:textAlignment w:val="center"/>
              <w:rPr>
                <w:rFonts w:ascii="宋体"/>
                <w:color w:val="000000"/>
                <w:sz w:val="15"/>
                <w:szCs w:val="15"/>
              </w:rPr>
            </w:pPr>
            <w:r>
              <w:rPr>
                <w:rFonts w:hint="eastAsia" w:ascii="宋体" w:hAnsi="宋体"/>
                <w:color w:val="000000"/>
                <w:sz w:val="15"/>
                <w:szCs w:val="15"/>
              </w:rPr>
              <w:t>营业利润</w:t>
            </w:r>
          </w:p>
        </w:tc>
        <w:tc>
          <w:tcPr>
            <w:tcW w:w="1200" w:type="dxa"/>
            <w:vAlign w:val="center"/>
          </w:tcPr>
          <w:p>
            <w:pPr>
              <w:autoSpaceDN w:val="0"/>
              <w:spacing w:line="240" w:lineRule="exact"/>
              <w:jc w:val="left"/>
              <w:textAlignment w:val="center"/>
              <w:rPr>
                <w:rFonts w:ascii="宋体"/>
                <w:color w:val="000000"/>
                <w:sz w:val="15"/>
                <w:szCs w:val="15"/>
              </w:rPr>
            </w:pPr>
            <w:r>
              <w:rPr>
                <w:rFonts w:ascii="宋体" w:hAnsi="宋体"/>
                <w:color w:val="000000"/>
                <w:sz w:val="15"/>
                <w:szCs w:val="15"/>
              </w:rPr>
              <w:t xml:space="preserve">2,600,000.00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5" w:type="dxa"/>
            <w:bottom w:w="0" w:type="dxa"/>
            <w:right w:w="15" w:type="dxa"/>
          </w:tblCellMar>
        </w:tblPrEx>
        <w:trPr>
          <w:trHeight w:val="170" w:hRule="atLeast"/>
        </w:trPr>
        <w:tc>
          <w:tcPr>
            <w:tcW w:w="1233" w:type="dxa"/>
            <w:vAlign w:val="center"/>
          </w:tcPr>
          <w:p>
            <w:pPr>
              <w:autoSpaceDN w:val="0"/>
              <w:spacing w:line="240" w:lineRule="exact"/>
              <w:jc w:val="left"/>
              <w:textAlignment w:val="center"/>
              <w:rPr>
                <w:rFonts w:ascii="宋体"/>
                <w:color w:val="000000"/>
                <w:sz w:val="15"/>
                <w:szCs w:val="15"/>
              </w:rPr>
            </w:pPr>
            <w:r>
              <w:rPr>
                <w:rFonts w:hint="eastAsia" w:ascii="宋体" w:hAnsi="宋体"/>
                <w:color w:val="000000"/>
                <w:sz w:val="15"/>
                <w:szCs w:val="15"/>
              </w:rPr>
              <w:t>加：营业外收入</w:t>
            </w:r>
          </w:p>
        </w:tc>
        <w:tc>
          <w:tcPr>
            <w:tcW w:w="1200" w:type="dxa"/>
            <w:vAlign w:val="center"/>
          </w:tcPr>
          <w:p>
            <w:pPr>
              <w:autoSpaceDN w:val="0"/>
              <w:spacing w:line="240" w:lineRule="exact"/>
              <w:jc w:val="left"/>
              <w:textAlignment w:val="center"/>
              <w:rPr>
                <w:rFonts w:ascii="宋体"/>
                <w:color w:val="000000"/>
                <w:sz w:val="15"/>
                <w:szCs w:val="15"/>
              </w:rPr>
            </w:pPr>
            <w:r>
              <w:rPr>
                <w:rFonts w:ascii="宋体" w:hAnsi="宋体"/>
                <w:color w:val="000000"/>
                <w:sz w:val="15"/>
                <w:szCs w:val="15"/>
              </w:rPr>
              <w:t xml:space="preserve">200,000.00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5" w:type="dxa"/>
            <w:bottom w:w="0" w:type="dxa"/>
            <w:right w:w="15" w:type="dxa"/>
          </w:tblCellMar>
        </w:tblPrEx>
        <w:trPr>
          <w:trHeight w:val="170" w:hRule="atLeast"/>
        </w:trPr>
        <w:tc>
          <w:tcPr>
            <w:tcW w:w="1233" w:type="dxa"/>
            <w:vAlign w:val="center"/>
          </w:tcPr>
          <w:p>
            <w:pPr>
              <w:autoSpaceDN w:val="0"/>
              <w:spacing w:line="240" w:lineRule="exact"/>
              <w:jc w:val="left"/>
              <w:textAlignment w:val="center"/>
              <w:rPr>
                <w:rFonts w:ascii="宋体"/>
                <w:color w:val="000000"/>
                <w:sz w:val="15"/>
                <w:szCs w:val="15"/>
              </w:rPr>
            </w:pPr>
            <w:r>
              <w:rPr>
                <w:rFonts w:hint="eastAsia" w:ascii="宋体" w:hAnsi="宋体"/>
                <w:color w:val="000000"/>
                <w:sz w:val="15"/>
                <w:szCs w:val="15"/>
              </w:rPr>
              <w:t>减：营业外支出</w:t>
            </w:r>
          </w:p>
        </w:tc>
        <w:tc>
          <w:tcPr>
            <w:tcW w:w="1200" w:type="dxa"/>
            <w:vAlign w:val="center"/>
          </w:tcPr>
          <w:p>
            <w:pPr>
              <w:autoSpaceDN w:val="0"/>
              <w:spacing w:line="240" w:lineRule="exact"/>
              <w:jc w:val="left"/>
              <w:textAlignment w:val="center"/>
              <w:rPr>
                <w:rFonts w:ascii="宋体"/>
                <w:color w:val="000000"/>
                <w:sz w:val="15"/>
                <w:szCs w:val="15"/>
              </w:rPr>
            </w:pPr>
            <w:r>
              <w:rPr>
                <w:rFonts w:ascii="宋体" w:hAnsi="宋体"/>
                <w:color w:val="000000"/>
                <w:sz w:val="15"/>
                <w:szCs w:val="15"/>
              </w:rPr>
              <w:t xml:space="preserve">100,000.00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5" w:type="dxa"/>
            <w:bottom w:w="0" w:type="dxa"/>
            <w:right w:w="15" w:type="dxa"/>
          </w:tblCellMar>
        </w:tblPrEx>
        <w:trPr>
          <w:trHeight w:val="170" w:hRule="atLeast"/>
        </w:trPr>
        <w:tc>
          <w:tcPr>
            <w:tcW w:w="1233" w:type="dxa"/>
            <w:vAlign w:val="center"/>
          </w:tcPr>
          <w:p>
            <w:pPr>
              <w:autoSpaceDN w:val="0"/>
              <w:spacing w:line="240" w:lineRule="exact"/>
              <w:jc w:val="left"/>
              <w:textAlignment w:val="center"/>
              <w:rPr>
                <w:rFonts w:ascii="宋体"/>
                <w:color w:val="000000"/>
                <w:sz w:val="15"/>
                <w:szCs w:val="15"/>
              </w:rPr>
            </w:pPr>
            <w:r>
              <w:rPr>
                <w:rFonts w:hint="eastAsia" w:ascii="宋体" w:hAnsi="宋体"/>
                <w:color w:val="000000"/>
                <w:sz w:val="15"/>
                <w:szCs w:val="15"/>
              </w:rPr>
              <w:t>利润总额</w:t>
            </w:r>
          </w:p>
        </w:tc>
        <w:tc>
          <w:tcPr>
            <w:tcW w:w="1200" w:type="dxa"/>
            <w:vAlign w:val="center"/>
          </w:tcPr>
          <w:p>
            <w:pPr>
              <w:autoSpaceDN w:val="0"/>
              <w:spacing w:line="240" w:lineRule="exact"/>
              <w:jc w:val="left"/>
              <w:textAlignment w:val="center"/>
              <w:rPr>
                <w:rFonts w:ascii="宋体"/>
                <w:color w:val="000000"/>
                <w:sz w:val="15"/>
                <w:szCs w:val="15"/>
              </w:rPr>
            </w:pPr>
            <w:r>
              <w:rPr>
                <w:rFonts w:ascii="宋体" w:hAnsi="宋体"/>
                <w:color w:val="000000"/>
                <w:sz w:val="15"/>
                <w:szCs w:val="15"/>
              </w:rPr>
              <w:t xml:space="preserve">2,700,000.00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5" w:type="dxa"/>
            <w:bottom w:w="0" w:type="dxa"/>
            <w:right w:w="15" w:type="dxa"/>
          </w:tblCellMar>
        </w:tblPrEx>
        <w:trPr>
          <w:trHeight w:val="170" w:hRule="atLeast"/>
        </w:trPr>
        <w:tc>
          <w:tcPr>
            <w:tcW w:w="1233" w:type="dxa"/>
            <w:vAlign w:val="center"/>
          </w:tcPr>
          <w:p>
            <w:pPr>
              <w:autoSpaceDN w:val="0"/>
              <w:spacing w:line="240" w:lineRule="exact"/>
              <w:jc w:val="left"/>
              <w:textAlignment w:val="center"/>
              <w:rPr>
                <w:rFonts w:ascii="宋体"/>
                <w:color w:val="000000"/>
                <w:sz w:val="15"/>
                <w:szCs w:val="15"/>
              </w:rPr>
            </w:pPr>
            <w:r>
              <w:rPr>
                <w:rFonts w:hint="eastAsia" w:ascii="宋体" w:hAnsi="宋体"/>
                <w:color w:val="000000"/>
                <w:sz w:val="15"/>
                <w:szCs w:val="15"/>
              </w:rPr>
              <w:t>减：所得税费用</w:t>
            </w:r>
          </w:p>
        </w:tc>
        <w:tc>
          <w:tcPr>
            <w:tcW w:w="1200" w:type="dxa"/>
            <w:vAlign w:val="center"/>
          </w:tcPr>
          <w:p>
            <w:pPr>
              <w:autoSpaceDN w:val="0"/>
              <w:spacing w:line="240" w:lineRule="exact"/>
              <w:jc w:val="left"/>
              <w:textAlignment w:val="center"/>
              <w:rPr>
                <w:rFonts w:ascii="宋体"/>
                <w:color w:val="000000"/>
                <w:sz w:val="15"/>
                <w:szCs w:val="15"/>
              </w:rPr>
            </w:pPr>
            <w:r>
              <w:rPr>
                <w:rFonts w:ascii="宋体" w:hAnsi="宋体"/>
                <w:color w:val="000000"/>
                <w:sz w:val="15"/>
                <w:szCs w:val="15"/>
              </w:rPr>
              <w:t xml:space="preserve">900,000.00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5" w:type="dxa"/>
            <w:bottom w:w="0" w:type="dxa"/>
            <w:right w:w="15" w:type="dxa"/>
          </w:tblCellMar>
        </w:tblPrEx>
        <w:trPr>
          <w:trHeight w:val="170" w:hRule="atLeast"/>
        </w:trPr>
        <w:tc>
          <w:tcPr>
            <w:tcW w:w="1233" w:type="dxa"/>
            <w:vAlign w:val="center"/>
          </w:tcPr>
          <w:p>
            <w:pPr>
              <w:autoSpaceDN w:val="0"/>
              <w:spacing w:line="240" w:lineRule="exact"/>
              <w:jc w:val="left"/>
              <w:textAlignment w:val="center"/>
              <w:rPr>
                <w:rFonts w:ascii="宋体"/>
                <w:color w:val="000000"/>
                <w:sz w:val="15"/>
                <w:szCs w:val="15"/>
              </w:rPr>
            </w:pPr>
            <w:r>
              <w:rPr>
                <w:rFonts w:hint="eastAsia" w:ascii="宋体" w:hAnsi="宋体"/>
                <w:color w:val="000000"/>
                <w:sz w:val="15"/>
                <w:szCs w:val="15"/>
              </w:rPr>
              <w:t>净利润</w:t>
            </w:r>
          </w:p>
        </w:tc>
        <w:tc>
          <w:tcPr>
            <w:tcW w:w="1200" w:type="dxa"/>
            <w:vAlign w:val="center"/>
          </w:tcPr>
          <w:p>
            <w:pPr>
              <w:autoSpaceDN w:val="0"/>
              <w:spacing w:line="240" w:lineRule="exact"/>
              <w:jc w:val="left"/>
              <w:textAlignment w:val="center"/>
              <w:rPr>
                <w:rFonts w:ascii="宋体"/>
                <w:color w:val="000000"/>
                <w:sz w:val="15"/>
                <w:szCs w:val="15"/>
              </w:rPr>
            </w:pPr>
            <w:r>
              <w:rPr>
                <w:rFonts w:ascii="宋体" w:hAnsi="宋体"/>
                <w:color w:val="000000"/>
                <w:sz w:val="15"/>
                <w:szCs w:val="15"/>
              </w:rPr>
              <w:t xml:space="preserve">1,800,000.00 </w:t>
            </w:r>
          </w:p>
        </w:tc>
      </w:tr>
    </w:tbl>
    <w:p>
      <w:pPr>
        <w:spacing w:line="160" w:lineRule="exact"/>
        <w:jc w:val="left"/>
        <w:rPr>
          <w:rFonts w:ascii="宋体" w:cs="宋体"/>
          <w:sz w:val="15"/>
          <w:szCs w:val="15"/>
          <w:shd w:val="clear" w:color="050000" w:fill="auto"/>
        </w:rPr>
      </w:pPr>
    </w:p>
    <w:p>
      <w:pPr>
        <w:spacing w:line="160" w:lineRule="exact"/>
        <w:jc w:val="left"/>
        <w:rPr>
          <w:rFonts w:ascii="宋体" w:cs="宋体"/>
          <w:sz w:val="15"/>
          <w:szCs w:val="15"/>
          <w:shd w:val="clear" w:color="050000" w:fill="auto"/>
        </w:rPr>
      </w:pPr>
    </w:p>
    <w:p>
      <w:pPr>
        <w:spacing w:line="160" w:lineRule="exact"/>
        <w:jc w:val="left"/>
        <w:rPr>
          <w:rFonts w:ascii="宋体" w:cs="宋体"/>
          <w:sz w:val="15"/>
          <w:szCs w:val="15"/>
          <w:shd w:val="clear" w:color="050000" w:fill="auto"/>
        </w:rPr>
      </w:pPr>
    </w:p>
    <w:p>
      <w:pPr>
        <w:spacing w:line="160" w:lineRule="exact"/>
        <w:jc w:val="left"/>
        <w:rPr>
          <w:rFonts w:ascii="宋体" w:cs="宋体"/>
          <w:sz w:val="15"/>
          <w:szCs w:val="15"/>
          <w:shd w:val="clear" w:color="050000" w:fill="auto"/>
        </w:rPr>
      </w:pPr>
    </w:p>
    <w:p>
      <w:pPr>
        <w:spacing w:line="160" w:lineRule="exact"/>
        <w:jc w:val="left"/>
        <w:rPr>
          <w:rFonts w:ascii="宋体" w:cs="宋体"/>
          <w:sz w:val="15"/>
          <w:szCs w:val="15"/>
          <w:shd w:val="clear" w:color="050000" w:fill="auto"/>
        </w:rPr>
      </w:pPr>
    </w:p>
    <w:p>
      <w:pPr>
        <w:spacing w:line="160" w:lineRule="exact"/>
        <w:jc w:val="left"/>
        <w:rPr>
          <w:rFonts w:ascii="宋体" w:cs="宋体"/>
          <w:sz w:val="15"/>
          <w:szCs w:val="15"/>
          <w:shd w:val="clear" w:color="050000" w:fill="auto"/>
        </w:rPr>
      </w:pPr>
    </w:p>
    <w:p>
      <w:pPr>
        <w:spacing w:line="160" w:lineRule="exact"/>
        <w:jc w:val="left"/>
        <w:rPr>
          <w:rFonts w:ascii="宋体" w:cs="宋体"/>
          <w:sz w:val="15"/>
          <w:szCs w:val="15"/>
          <w:shd w:val="clear" w:color="050000" w:fill="auto"/>
        </w:rPr>
      </w:pPr>
    </w:p>
    <w:p>
      <w:pPr>
        <w:spacing w:line="160" w:lineRule="exact"/>
        <w:jc w:val="left"/>
        <w:rPr>
          <w:rFonts w:ascii="宋体" w:cs="宋体"/>
          <w:sz w:val="15"/>
          <w:szCs w:val="15"/>
          <w:shd w:val="clear" w:color="050000" w:fill="auto"/>
        </w:rPr>
      </w:pPr>
    </w:p>
    <w:p>
      <w:pPr>
        <w:spacing w:line="160" w:lineRule="exact"/>
        <w:jc w:val="left"/>
        <w:rPr>
          <w:rFonts w:ascii="宋体" w:cs="宋体"/>
          <w:sz w:val="15"/>
          <w:szCs w:val="15"/>
          <w:shd w:val="clear" w:color="050000" w:fill="auto"/>
        </w:rPr>
      </w:pPr>
    </w:p>
    <w:p>
      <w:pPr>
        <w:spacing w:line="160" w:lineRule="exact"/>
        <w:jc w:val="left"/>
        <w:rPr>
          <w:rFonts w:ascii="宋体" w:cs="宋体"/>
          <w:sz w:val="15"/>
          <w:szCs w:val="15"/>
          <w:shd w:val="clear" w:color="050000" w:fill="auto"/>
        </w:rPr>
      </w:pPr>
    </w:p>
    <w:p>
      <w:pPr>
        <w:spacing w:line="160" w:lineRule="exact"/>
        <w:jc w:val="left"/>
        <w:rPr>
          <w:rFonts w:ascii="宋体" w:cs="宋体"/>
          <w:sz w:val="15"/>
          <w:szCs w:val="15"/>
          <w:shd w:val="clear" w:color="050000" w:fill="auto"/>
        </w:rPr>
      </w:pPr>
    </w:p>
    <w:p>
      <w:pPr>
        <w:spacing w:line="160" w:lineRule="exact"/>
        <w:jc w:val="left"/>
        <w:rPr>
          <w:rFonts w:ascii="宋体" w:cs="宋体"/>
          <w:sz w:val="15"/>
          <w:szCs w:val="15"/>
          <w:shd w:val="clear" w:color="050000" w:fill="auto"/>
        </w:rPr>
      </w:pPr>
    </w:p>
    <w:p>
      <w:pPr>
        <w:spacing w:line="160" w:lineRule="exact"/>
        <w:jc w:val="left"/>
        <w:rPr>
          <w:rFonts w:ascii="宋体" w:cs="宋体"/>
          <w:sz w:val="15"/>
          <w:szCs w:val="15"/>
          <w:shd w:val="clear" w:color="050000" w:fill="auto"/>
        </w:rPr>
      </w:pPr>
    </w:p>
    <w:p>
      <w:pPr>
        <w:spacing w:line="160" w:lineRule="exact"/>
        <w:jc w:val="left"/>
        <w:rPr>
          <w:rFonts w:ascii="宋体" w:cs="宋体"/>
          <w:sz w:val="15"/>
          <w:szCs w:val="15"/>
          <w:shd w:val="clear" w:color="050000" w:fill="auto"/>
        </w:rPr>
      </w:pPr>
    </w:p>
    <w:p>
      <w:pPr>
        <w:spacing w:line="160" w:lineRule="exact"/>
        <w:jc w:val="left"/>
        <w:rPr>
          <w:rFonts w:ascii="宋体" w:cs="宋体"/>
          <w:sz w:val="15"/>
          <w:szCs w:val="15"/>
          <w:shd w:val="clear" w:color="050000" w:fill="auto"/>
        </w:rPr>
      </w:pPr>
    </w:p>
    <w:p>
      <w:pPr>
        <w:spacing w:line="160" w:lineRule="exact"/>
        <w:jc w:val="left"/>
        <w:rPr>
          <w:rFonts w:ascii="宋体" w:cs="宋体"/>
          <w:sz w:val="15"/>
          <w:szCs w:val="15"/>
          <w:shd w:val="clear" w:color="050000" w:fill="auto"/>
        </w:rPr>
      </w:pPr>
    </w:p>
    <w:p>
      <w:pPr>
        <w:spacing w:line="160" w:lineRule="exact"/>
        <w:jc w:val="left"/>
        <w:rPr>
          <w:rFonts w:ascii="宋体" w:cs="宋体"/>
          <w:sz w:val="15"/>
          <w:szCs w:val="15"/>
          <w:shd w:val="clear" w:color="050000" w:fill="auto"/>
        </w:rPr>
      </w:pPr>
    </w:p>
    <w:p>
      <w:pPr>
        <w:spacing w:line="160" w:lineRule="exact"/>
        <w:jc w:val="left"/>
        <w:rPr>
          <w:rFonts w:ascii="宋体" w:cs="宋体"/>
          <w:sz w:val="15"/>
          <w:szCs w:val="15"/>
          <w:shd w:val="clear" w:color="050000" w:fill="auto"/>
        </w:rPr>
      </w:pPr>
    </w:p>
    <w:p>
      <w:pPr>
        <w:spacing w:line="160" w:lineRule="exact"/>
        <w:jc w:val="left"/>
        <w:rPr>
          <w:rFonts w:ascii="宋体" w:cs="宋体"/>
          <w:sz w:val="15"/>
          <w:szCs w:val="15"/>
          <w:shd w:val="clear" w:color="050000" w:fill="auto"/>
        </w:rPr>
      </w:pPr>
    </w:p>
    <w:p>
      <w:pPr>
        <w:spacing w:line="160" w:lineRule="exact"/>
        <w:jc w:val="left"/>
        <w:rPr>
          <w:rFonts w:ascii="宋体" w:cs="宋体"/>
          <w:sz w:val="15"/>
          <w:szCs w:val="15"/>
          <w:shd w:val="clear" w:color="050000" w:fill="auto"/>
        </w:rPr>
      </w:pPr>
    </w:p>
    <w:p>
      <w:pPr>
        <w:spacing w:line="160" w:lineRule="exact"/>
        <w:jc w:val="left"/>
        <w:rPr>
          <w:rFonts w:ascii="宋体" w:cs="宋体"/>
          <w:sz w:val="15"/>
          <w:szCs w:val="15"/>
          <w:shd w:val="clear" w:color="050000" w:fill="auto"/>
        </w:rPr>
      </w:pPr>
    </w:p>
    <w:tbl>
      <w:tblPr>
        <w:tblStyle w:val="5"/>
        <w:tblpPr w:leftFromText="180" w:rightFromText="180" w:vertAnchor="text" w:horzAnchor="page" w:tblpX="8344" w:tblpY="227"/>
        <w:tblOverlap w:val="never"/>
        <w:tblW w:w="243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5" w:type="dxa"/>
          <w:bottom w:w="0" w:type="dxa"/>
          <w:right w:w="15" w:type="dxa"/>
        </w:tblCellMar>
      </w:tblPr>
      <w:tblGrid>
        <w:gridCol w:w="1127"/>
        <w:gridCol w:w="13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5" w:type="dxa"/>
            <w:bottom w:w="0" w:type="dxa"/>
            <w:right w:w="15" w:type="dxa"/>
          </w:tblCellMar>
        </w:tblPrEx>
        <w:trPr>
          <w:trHeight w:val="170" w:hRule="atLeast"/>
        </w:trPr>
        <w:tc>
          <w:tcPr>
            <w:tcW w:w="2433" w:type="dxa"/>
            <w:gridSpan w:val="2"/>
            <w:vAlign w:val="center"/>
          </w:tcPr>
          <w:p>
            <w:pPr>
              <w:autoSpaceDN w:val="0"/>
              <w:jc w:val="center"/>
              <w:textAlignment w:val="center"/>
              <w:rPr>
                <w:rFonts w:ascii="宋体"/>
                <w:color w:val="000000"/>
                <w:sz w:val="15"/>
                <w:szCs w:val="15"/>
              </w:rPr>
            </w:pPr>
            <w:r>
              <w:rPr>
                <w:rFonts w:hint="eastAsia" w:ascii="宋体" w:hAnsi="宋体"/>
                <w:color w:val="000000"/>
                <w:sz w:val="15"/>
                <w:szCs w:val="15"/>
              </w:rPr>
              <w:t>利润表（人民币）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5" w:type="dxa"/>
            <w:bottom w:w="0" w:type="dxa"/>
            <w:right w:w="15" w:type="dxa"/>
          </w:tblCellMar>
        </w:tblPrEx>
        <w:trPr>
          <w:trHeight w:val="170" w:hRule="atLeast"/>
        </w:trPr>
        <w:tc>
          <w:tcPr>
            <w:tcW w:w="2433" w:type="dxa"/>
            <w:gridSpan w:val="2"/>
            <w:vAlign w:val="center"/>
          </w:tcPr>
          <w:p>
            <w:pPr>
              <w:autoSpaceDN w:val="0"/>
              <w:jc w:val="center"/>
              <w:textAlignment w:val="center"/>
              <w:rPr>
                <w:rFonts w:ascii="宋体"/>
                <w:color w:val="000000"/>
                <w:sz w:val="15"/>
                <w:szCs w:val="15"/>
              </w:rPr>
            </w:pPr>
            <w:r>
              <w:rPr>
                <w:rFonts w:ascii="宋体" w:hAnsi="宋体"/>
                <w:color w:val="000000"/>
                <w:sz w:val="15"/>
                <w:szCs w:val="15"/>
              </w:rPr>
              <w:t xml:space="preserve">           20**</w:t>
            </w:r>
            <w:r>
              <w:rPr>
                <w:rFonts w:hint="eastAsia" w:ascii="宋体" w:hAnsi="宋体"/>
                <w:color w:val="000000"/>
                <w:sz w:val="15"/>
                <w:szCs w:val="15"/>
              </w:rPr>
              <w:t>年</w:t>
            </w:r>
            <w:r>
              <w:rPr>
                <w:rFonts w:ascii="宋体" w:hAnsi="宋体"/>
                <w:color w:val="000000"/>
                <w:sz w:val="15"/>
                <w:szCs w:val="15"/>
              </w:rPr>
              <w:t xml:space="preserve">     </w:t>
            </w:r>
            <w:r>
              <w:rPr>
                <w:rFonts w:hint="eastAsia" w:ascii="宋体" w:hAnsi="宋体"/>
                <w:color w:val="000000"/>
                <w:sz w:val="15"/>
                <w:szCs w:val="15"/>
              </w:rPr>
              <w:t>单位：元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5" w:type="dxa"/>
            <w:bottom w:w="0" w:type="dxa"/>
            <w:right w:w="15" w:type="dxa"/>
          </w:tblCellMar>
        </w:tblPrEx>
        <w:trPr>
          <w:trHeight w:val="170" w:hRule="atLeast"/>
        </w:trPr>
        <w:tc>
          <w:tcPr>
            <w:tcW w:w="1127" w:type="dxa"/>
            <w:vAlign w:val="center"/>
          </w:tcPr>
          <w:p>
            <w:pPr>
              <w:autoSpaceDN w:val="0"/>
              <w:jc w:val="left"/>
              <w:textAlignment w:val="center"/>
              <w:rPr>
                <w:rFonts w:ascii="宋体"/>
                <w:color w:val="000000"/>
                <w:sz w:val="15"/>
                <w:szCs w:val="15"/>
              </w:rPr>
            </w:pPr>
            <w:r>
              <w:rPr>
                <w:rFonts w:hint="eastAsia" w:ascii="宋体" w:hAnsi="宋体"/>
                <w:color w:val="000000"/>
                <w:sz w:val="15"/>
                <w:szCs w:val="15"/>
              </w:rPr>
              <w:t>项目</w:t>
            </w:r>
          </w:p>
        </w:tc>
        <w:tc>
          <w:tcPr>
            <w:tcW w:w="1306" w:type="dxa"/>
            <w:vAlign w:val="center"/>
          </w:tcPr>
          <w:p>
            <w:pPr>
              <w:autoSpaceDN w:val="0"/>
              <w:jc w:val="left"/>
              <w:textAlignment w:val="center"/>
              <w:rPr>
                <w:rFonts w:ascii="宋体"/>
                <w:color w:val="000000"/>
                <w:sz w:val="15"/>
                <w:szCs w:val="15"/>
              </w:rPr>
            </w:pPr>
            <w:r>
              <w:rPr>
                <w:rFonts w:hint="eastAsia" w:ascii="宋体" w:hAnsi="宋体"/>
                <w:color w:val="000000"/>
                <w:sz w:val="15"/>
                <w:szCs w:val="15"/>
              </w:rPr>
              <w:t>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5" w:type="dxa"/>
            <w:bottom w:w="0" w:type="dxa"/>
            <w:right w:w="15" w:type="dxa"/>
          </w:tblCellMar>
        </w:tblPrEx>
        <w:trPr>
          <w:trHeight w:val="170" w:hRule="atLeast"/>
        </w:trPr>
        <w:tc>
          <w:tcPr>
            <w:tcW w:w="1127" w:type="dxa"/>
            <w:vAlign w:val="center"/>
          </w:tcPr>
          <w:p>
            <w:pPr>
              <w:autoSpaceDN w:val="0"/>
              <w:jc w:val="left"/>
              <w:textAlignment w:val="center"/>
              <w:rPr>
                <w:rFonts w:ascii="宋体"/>
                <w:color w:val="000000"/>
                <w:sz w:val="15"/>
                <w:szCs w:val="15"/>
              </w:rPr>
            </w:pPr>
            <w:r>
              <w:rPr>
                <w:rFonts w:hint="eastAsia" w:ascii="宋体" w:hAnsi="宋体"/>
                <w:color w:val="000000"/>
                <w:sz w:val="15"/>
                <w:szCs w:val="15"/>
              </w:rPr>
              <w:t>营业收入</w:t>
            </w:r>
          </w:p>
        </w:tc>
        <w:tc>
          <w:tcPr>
            <w:tcW w:w="1306" w:type="dxa"/>
            <w:vAlign w:val="center"/>
          </w:tcPr>
          <w:p>
            <w:pPr>
              <w:autoSpaceDN w:val="0"/>
              <w:jc w:val="left"/>
              <w:textAlignment w:val="center"/>
              <w:rPr>
                <w:rFonts w:ascii="宋体"/>
                <w:color w:val="000000"/>
                <w:sz w:val="15"/>
                <w:szCs w:val="15"/>
              </w:rPr>
            </w:pPr>
            <w:r>
              <w:rPr>
                <w:rFonts w:ascii="宋体" w:hAnsi="宋体"/>
                <w:color w:val="000000"/>
                <w:sz w:val="15"/>
                <w:szCs w:val="15"/>
              </w:rPr>
              <w:t xml:space="preserve">166,000,000.00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5" w:type="dxa"/>
            <w:bottom w:w="0" w:type="dxa"/>
            <w:right w:w="15" w:type="dxa"/>
          </w:tblCellMar>
        </w:tblPrEx>
        <w:trPr>
          <w:trHeight w:val="170" w:hRule="atLeast"/>
        </w:trPr>
        <w:tc>
          <w:tcPr>
            <w:tcW w:w="1127" w:type="dxa"/>
            <w:vAlign w:val="center"/>
          </w:tcPr>
          <w:p>
            <w:pPr>
              <w:autoSpaceDN w:val="0"/>
              <w:jc w:val="left"/>
              <w:textAlignment w:val="center"/>
              <w:rPr>
                <w:rFonts w:ascii="宋体"/>
                <w:color w:val="000000"/>
                <w:sz w:val="15"/>
                <w:szCs w:val="15"/>
              </w:rPr>
            </w:pPr>
            <w:r>
              <w:rPr>
                <w:rFonts w:hint="eastAsia" w:ascii="宋体" w:hAnsi="宋体"/>
                <w:color w:val="000000"/>
                <w:sz w:val="15"/>
                <w:szCs w:val="15"/>
              </w:rPr>
              <w:t>减：营业成本</w:t>
            </w:r>
          </w:p>
        </w:tc>
        <w:tc>
          <w:tcPr>
            <w:tcW w:w="1306" w:type="dxa"/>
            <w:vAlign w:val="center"/>
          </w:tcPr>
          <w:p>
            <w:pPr>
              <w:autoSpaceDN w:val="0"/>
              <w:jc w:val="left"/>
              <w:textAlignment w:val="center"/>
              <w:rPr>
                <w:rFonts w:ascii="宋体"/>
                <w:color w:val="000000"/>
                <w:sz w:val="15"/>
                <w:szCs w:val="15"/>
              </w:rPr>
            </w:pPr>
            <w:r>
              <w:rPr>
                <w:rFonts w:ascii="宋体" w:hAnsi="宋体"/>
                <w:color w:val="000000"/>
                <w:sz w:val="15"/>
                <w:szCs w:val="15"/>
              </w:rPr>
              <w:t xml:space="preserve">132,800,000.00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5" w:type="dxa"/>
            <w:bottom w:w="0" w:type="dxa"/>
            <w:right w:w="15" w:type="dxa"/>
          </w:tblCellMar>
        </w:tblPrEx>
        <w:trPr>
          <w:trHeight w:val="170" w:hRule="atLeast"/>
        </w:trPr>
        <w:tc>
          <w:tcPr>
            <w:tcW w:w="1127" w:type="dxa"/>
            <w:vAlign w:val="center"/>
          </w:tcPr>
          <w:p>
            <w:pPr>
              <w:autoSpaceDN w:val="0"/>
              <w:jc w:val="left"/>
              <w:textAlignment w:val="center"/>
              <w:rPr>
                <w:rFonts w:ascii="宋体"/>
                <w:color w:val="000000"/>
                <w:sz w:val="15"/>
                <w:szCs w:val="15"/>
              </w:rPr>
            </w:pPr>
            <w:r>
              <w:rPr>
                <w:rFonts w:hint="eastAsia" w:ascii="宋体" w:hAnsi="宋体"/>
                <w:color w:val="000000"/>
                <w:sz w:val="15"/>
                <w:szCs w:val="15"/>
              </w:rPr>
              <w:t>减：管理费用</w:t>
            </w:r>
          </w:p>
        </w:tc>
        <w:tc>
          <w:tcPr>
            <w:tcW w:w="1306" w:type="dxa"/>
            <w:vAlign w:val="center"/>
          </w:tcPr>
          <w:p>
            <w:pPr>
              <w:autoSpaceDN w:val="0"/>
              <w:jc w:val="left"/>
              <w:textAlignment w:val="center"/>
              <w:rPr>
                <w:rFonts w:ascii="宋体"/>
                <w:color w:val="000000"/>
                <w:sz w:val="15"/>
                <w:szCs w:val="15"/>
              </w:rPr>
            </w:pPr>
            <w:r>
              <w:rPr>
                <w:rFonts w:ascii="宋体" w:hAnsi="宋体"/>
                <w:color w:val="000000"/>
                <w:sz w:val="15"/>
                <w:szCs w:val="15"/>
              </w:rPr>
              <w:t xml:space="preserve">8,300,000.00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5" w:type="dxa"/>
            <w:bottom w:w="0" w:type="dxa"/>
            <w:right w:w="15" w:type="dxa"/>
          </w:tblCellMar>
        </w:tblPrEx>
        <w:trPr>
          <w:trHeight w:val="170" w:hRule="atLeast"/>
        </w:trPr>
        <w:tc>
          <w:tcPr>
            <w:tcW w:w="1127" w:type="dxa"/>
            <w:vAlign w:val="center"/>
          </w:tcPr>
          <w:p>
            <w:pPr>
              <w:autoSpaceDN w:val="0"/>
              <w:jc w:val="left"/>
              <w:textAlignment w:val="center"/>
              <w:rPr>
                <w:rFonts w:ascii="宋体"/>
                <w:color w:val="000000"/>
                <w:sz w:val="15"/>
                <w:szCs w:val="15"/>
              </w:rPr>
            </w:pPr>
            <w:r>
              <w:rPr>
                <w:rFonts w:hint="eastAsia" w:ascii="宋体" w:hAnsi="宋体"/>
                <w:color w:val="000000"/>
                <w:sz w:val="15"/>
                <w:szCs w:val="15"/>
              </w:rPr>
              <w:t>减：财务费用</w:t>
            </w:r>
          </w:p>
        </w:tc>
        <w:tc>
          <w:tcPr>
            <w:tcW w:w="1306" w:type="dxa"/>
            <w:vAlign w:val="center"/>
          </w:tcPr>
          <w:p>
            <w:pPr>
              <w:autoSpaceDN w:val="0"/>
              <w:jc w:val="left"/>
              <w:textAlignment w:val="center"/>
              <w:rPr>
                <w:rFonts w:ascii="宋体"/>
                <w:color w:val="000000"/>
                <w:sz w:val="15"/>
                <w:szCs w:val="15"/>
              </w:rPr>
            </w:pPr>
            <w:r>
              <w:rPr>
                <w:rFonts w:ascii="宋体" w:hAnsi="宋体"/>
                <w:color w:val="000000"/>
                <w:sz w:val="15"/>
                <w:szCs w:val="15"/>
              </w:rPr>
              <w:t xml:space="preserve">3,320,000.00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5" w:type="dxa"/>
            <w:bottom w:w="0" w:type="dxa"/>
            <w:right w:w="15" w:type="dxa"/>
          </w:tblCellMar>
        </w:tblPrEx>
        <w:trPr>
          <w:trHeight w:val="170" w:hRule="atLeast"/>
        </w:trPr>
        <w:tc>
          <w:tcPr>
            <w:tcW w:w="1127" w:type="dxa"/>
            <w:vAlign w:val="center"/>
          </w:tcPr>
          <w:p>
            <w:pPr>
              <w:autoSpaceDN w:val="0"/>
              <w:jc w:val="left"/>
              <w:textAlignment w:val="center"/>
              <w:rPr>
                <w:rFonts w:ascii="宋体"/>
                <w:color w:val="000000"/>
                <w:sz w:val="15"/>
                <w:szCs w:val="15"/>
              </w:rPr>
            </w:pPr>
            <w:r>
              <w:rPr>
                <w:rFonts w:hint="eastAsia" w:ascii="宋体" w:hAnsi="宋体"/>
                <w:color w:val="000000"/>
                <w:sz w:val="15"/>
                <w:szCs w:val="15"/>
              </w:rPr>
              <w:t>营业利润</w:t>
            </w:r>
          </w:p>
        </w:tc>
        <w:tc>
          <w:tcPr>
            <w:tcW w:w="1306" w:type="dxa"/>
            <w:vAlign w:val="center"/>
          </w:tcPr>
          <w:p>
            <w:pPr>
              <w:autoSpaceDN w:val="0"/>
              <w:jc w:val="left"/>
              <w:textAlignment w:val="center"/>
              <w:rPr>
                <w:rFonts w:ascii="宋体"/>
                <w:color w:val="000000"/>
                <w:sz w:val="15"/>
                <w:szCs w:val="15"/>
              </w:rPr>
            </w:pPr>
            <w:r>
              <w:rPr>
                <w:rFonts w:ascii="宋体" w:hAnsi="宋体"/>
                <w:color w:val="000000"/>
                <w:sz w:val="15"/>
                <w:szCs w:val="15"/>
              </w:rPr>
              <w:t xml:space="preserve">21,580,000.00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5" w:type="dxa"/>
            <w:bottom w:w="0" w:type="dxa"/>
            <w:right w:w="15" w:type="dxa"/>
          </w:tblCellMar>
        </w:tblPrEx>
        <w:trPr>
          <w:trHeight w:val="170" w:hRule="atLeast"/>
        </w:trPr>
        <w:tc>
          <w:tcPr>
            <w:tcW w:w="1127" w:type="dxa"/>
            <w:vAlign w:val="center"/>
          </w:tcPr>
          <w:p>
            <w:pPr>
              <w:autoSpaceDN w:val="0"/>
              <w:jc w:val="left"/>
              <w:textAlignment w:val="center"/>
              <w:rPr>
                <w:rFonts w:ascii="宋体"/>
                <w:color w:val="000000"/>
                <w:sz w:val="15"/>
                <w:szCs w:val="15"/>
              </w:rPr>
            </w:pPr>
            <w:r>
              <w:rPr>
                <w:rFonts w:hint="eastAsia" w:ascii="宋体" w:hAnsi="宋体"/>
                <w:color w:val="000000"/>
                <w:sz w:val="15"/>
                <w:szCs w:val="15"/>
              </w:rPr>
              <w:t>加：营业外收入</w:t>
            </w:r>
          </w:p>
        </w:tc>
        <w:tc>
          <w:tcPr>
            <w:tcW w:w="1306" w:type="dxa"/>
            <w:vAlign w:val="center"/>
          </w:tcPr>
          <w:p>
            <w:pPr>
              <w:autoSpaceDN w:val="0"/>
              <w:jc w:val="left"/>
              <w:textAlignment w:val="center"/>
              <w:rPr>
                <w:rFonts w:ascii="宋体"/>
                <w:color w:val="000000"/>
                <w:sz w:val="15"/>
                <w:szCs w:val="15"/>
              </w:rPr>
            </w:pPr>
            <w:r>
              <w:rPr>
                <w:rFonts w:ascii="宋体" w:hAnsi="宋体"/>
                <w:color w:val="000000"/>
                <w:sz w:val="15"/>
                <w:szCs w:val="15"/>
              </w:rPr>
              <w:t xml:space="preserve">1,660,000.00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5" w:type="dxa"/>
            <w:bottom w:w="0" w:type="dxa"/>
            <w:right w:w="15" w:type="dxa"/>
          </w:tblCellMar>
        </w:tblPrEx>
        <w:trPr>
          <w:trHeight w:val="170" w:hRule="atLeast"/>
        </w:trPr>
        <w:tc>
          <w:tcPr>
            <w:tcW w:w="1127" w:type="dxa"/>
            <w:vAlign w:val="center"/>
          </w:tcPr>
          <w:p>
            <w:pPr>
              <w:autoSpaceDN w:val="0"/>
              <w:jc w:val="left"/>
              <w:textAlignment w:val="center"/>
              <w:rPr>
                <w:rFonts w:ascii="宋体"/>
                <w:color w:val="000000"/>
                <w:sz w:val="15"/>
                <w:szCs w:val="15"/>
              </w:rPr>
            </w:pPr>
            <w:r>
              <w:rPr>
                <w:rFonts w:hint="eastAsia" w:ascii="宋体" w:hAnsi="宋体"/>
                <w:color w:val="000000"/>
                <w:sz w:val="15"/>
                <w:szCs w:val="15"/>
              </w:rPr>
              <w:t>减：营业外支出</w:t>
            </w:r>
          </w:p>
        </w:tc>
        <w:tc>
          <w:tcPr>
            <w:tcW w:w="1306" w:type="dxa"/>
            <w:vAlign w:val="center"/>
          </w:tcPr>
          <w:p>
            <w:pPr>
              <w:autoSpaceDN w:val="0"/>
              <w:jc w:val="left"/>
              <w:textAlignment w:val="center"/>
              <w:rPr>
                <w:rFonts w:ascii="宋体"/>
                <w:color w:val="000000"/>
                <w:sz w:val="15"/>
                <w:szCs w:val="15"/>
              </w:rPr>
            </w:pPr>
            <w:r>
              <w:rPr>
                <w:rFonts w:ascii="宋体" w:hAnsi="宋体"/>
                <w:color w:val="000000"/>
                <w:sz w:val="15"/>
                <w:szCs w:val="15"/>
              </w:rPr>
              <w:t xml:space="preserve">830,000.00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5" w:type="dxa"/>
            <w:bottom w:w="0" w:type="dxa"/>
            <w:right w:w="15" w:type="dxa"/>
          </w:tblCellMar>
        </w:tblPrEx>
        <w:trPr>
          <w:trHeight w:val="170" w:hRule="atLeast"/>
        </w:trPr>
        <w:tc>
          <w:tcPr>
            <w:tcW w:w="1127" w:type="dxa"/>
            <w:vAlign w:val="center"/>
          </w:tcPr>
          <w:p>
            <w:pPr>
              <w:autoSpaceDN w:val="0"/>
              <w:jc w:val="left"/>
              <w:textAlignment w:val="center"/>
              <w:rPr>
                <w:rFonts w:ascii="宋体"/>
                <w:color w:val="000000"/>
                <w:sz w:val="15"/>
                <w:szCs w:val="15"/>
              </w:rPr>
            </w:pPr>
            <w:r>
              <w:rPr>
                <w:rFonts w:hint="eastAsia" w:ascii="宋体" w:hAnsi="宋体"/>
                <w:color w:val="000000"/>
                <w:sz w:val="15"/>
                <w:szCs w:val="15"/>
              </w:rPr>
              <w:t>利润总额</w:t>
            </w:r>
          </w:p>
        </w:tc>
        <w:tc>
          <w:tcPr>
            <w:tcW w:w="1306" w:type="dxa"/>
            <w:vAlign w:val="center"/>
          </w:tcPr>
          <w:p>
            <w:pPr>
              <w:autoSpaceDN w:val="0"/>
              <w:jc w:val="left"/>
              <w:textAlignment w:val="center"/>
              <w:rPr>
                <w:rFonts w:ascii="宋体"/>
                <w:color w:val="000000"/>
                <w:sz w:val="15"/>
                <w:szCs w:val="15"/>
              </w:rPr>
            </w:pPr>
            <w:r>
              <w:rPr>
                <w:rFonts w:ascii="宋体" w:hAnsi="宋体"/>
                <w:color w:val="000000"/>
                <w:sz w:val="15"/>
                <w:szCs w:val="15"/>
              </w:rPr>
              <w:t xml:space="preserve">22,410,000.00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5" w:type="dxa"/>
            <w:bottom w:w="0" w:type="dxa"/>
            <w:right w:w="15" w:type="dxa"/>
          </w:tblCellMar>
        </w:tblPrEx>
        <w:trPr>
          <w:trHeight w:val="170" w:hRule="atLeast"/>
        </w:trPr>
        <w:tc>
          <w:tcPr>
            <w:tcW w:w="1127" w:type="dxa"/>
            <w:vAlign w:val="center"/>
          </w:tcPr>
          <w:p>
            <w:pPr>
              <w:autoSpaceDN w:val="0"/>
              <w:jc w:val="left"/>
              <w:textAlignment w:val="center"/>
              <w:rPr>
                <w:rFonts w:ascii="宋体"/>
                <w:color w:val="000000"/>
                <w:sz w:val="15"/>
                <w:szCs w:val="15"/>
              </w:rPr>
            </w:pPr>
            <w:r>
              <w:rPr>
                <w:rFonts w:hint="eastAsia" w:ascii="宋体" w:hAnsi="宋体"/>
                <w:color w:val="000000"/>
                <w:sz w:val="15"/>
                <w:szCs w:val="15"/>
              </w:rPr>
              <w:t>减：所得税费用</w:t>
            </w:r>
          </w:p>
        </w:tc>
        <w:tc>
          <w:tcPr>
            <w:tcW w:w="1306" w:type="dxa"/>
            <w:vAlign w:val="center"/>
          </w:tcPr>
          <w:p>
            <w:pPr>
              <w:autoSpaceDN w:val="0"/>
              <w:jc w:val="left"/>
              <w:textAlignment w:val="center"/>
              <w:rPr>
                <w:rFonts w:ascii="宋体"/>
                <w:color w:val="000000"/>
                <w:sz w:val="15"/>
                <w:szCs w:val="15"/>
              </w:rPr>
            </w:pPr>
            <w:r>
              <w:rPr>
                <w:rFonts w:ascii="宋体" w:hAnsi="宋体"/>
                <w:color w:val="000000"/>
                <w:sz w:val="15"/>
                <w:szCs w:val="15"/>
              </w:rPr>
              <w:t xml:space="preserve">7,470,000.00 </w:t>
            </w:r>
          </w:p>
        </w:tc>
      </w:tr>
    </w:tbl>
    <w:p>
      <w:pPr>
        <w:spacing w:line="160" w:lineRule="exact"/>
        <w:jc w:val="left"/>
        <w:rPr>
          <w:rFonts w:ascii="宋体" w:cs="宋体"/>
          <w:sz w:val="15"/>
          <w:szCs w:val="15"/>
          <w:shd w:val="clear" w:color="050000" w:fill="auto"/>
        </w:rPr>
      </w:pPr>
      <w:r>
        <w:rPr>
          <w:rFonts w:hint="eastAsia" w:ascii="宋体" w:cs="宋体"/>
          <w:sz w:val="15"/>
          <w:szCs w:val="15"/>
          <w:shd w:val="clear" w:color="050000" w:fill="auto"/>
        </w:rPr>
        <w:t>表</w:t>
      </w:r>
      <w:r>
        <w:rPr>
          <w:rFonts w:ascii="宋体" w:cs="宋体"/>
          <w:sz w:val="15"/>
          <w:szCs w:val="15"/>
          <w:shd w:val="clear" w:color="050000" w:fill="auto"/>
        </w:rPr>
        <w:t>1-9</w:t>
      </w:r>
    </w:p>
    <w:p>
      <w:pPr>
        <w:spacing w:line="160" w:lineRule="exact"/>
        <w:jc w:val="left"/>
        <w:rPr>
          <w:rFonts w:ascii="宋体" w:cs="宋体"/>
          <w:sz w:val="15"/>
          <w:szCs w:val="15"/>
          <w:shd w:val="clear" w:color="050000" w:fill="auto"/>
        </w:rPr>
      </w:pPr>
    </w:p>
    <w:p>
      <w:pPr>
        <w:spacing w:line="160" w:lineRule="exact"/>
        <w:jc w:val="left"/>
        <w:rPr>
          <w:rFonts w:ascii="宋体" w:cs="宋体"/>
          <w:sz w:val="15"/>
          <w:szCs w:val="15"/>
          <w:shd w:val="clear" w:color="050000" w:fill="auto"/>
        </w:rPr>
      </w:pPr>
    </w:p>
    <w:p>
      <w:pPr>
        <w:spacing w:line="160" w:lineRule="exact"/>
        <w:jc w:val="left"/>
        <w:rPr>
          <w:rFonts w:ascii="宋体" w:cs="宋体"/>
          <w:sz w:val="15"/>
          <w:szCs w:val="15"/>
          <w:shd w:val="clear" w:color="050000" w:fill="auto"/>
        </w:rPr>
      </w:pPr>
    </w:p>
    <w:p>
      <w:pPr>
        <w:spacing w:line="160" w:lineRule="exact"/>
        <w:jc w:val="left"/>
        <w:rPr>
          <w:rFonts w:ascii="宋体" w:cs="宋体"/>
          <w:sz w:val="15"/>
          <w:szCs w:val="15"/>
          <w:shd w:val="clear" w:color="050000" w:fill="auto"/>
        </w:rPr>
      </w:pPr>
    </w:p>
    <w:p>
      <w:pPr>
        <w:spacing w:line="160" w:lineRule="exact"/>
        <w:jc w:val="left"/>
        <w:rPr>
          <w:rFonts w:ascii="宋体" w:cs="宋体"/>
          <w:sz w:val="15"/>
          <w:szCs w:val="15"/>
          <w:shd w:val="clear" w:color="050000" w:fill="auto"/>
        </w:rPr>
      </w:pPr>
    </w:p>
    <w:p>
      <w:pPr>
        <w:spacing w:line="160" w:lineRule="exact"/>
        <w:jc w:val="left"/>
        <w:rPr>
          <w:rFonts w:ascii="宋体" w:cs="宋体"/>
          <w:sz w:val="15"/>
          <w:szCs w:val="15"/>
          <w:shd w:val="clear" w:color="050000" w:fill="auto"/>
        </w:rPr>
      </w:pPr>
    </w:p>
    <w:p>
      <w:pPr>
        <w:spacing w:line="160" w:lineRule="exact"/>
        <w:jc w:val="left"/>
        <w:rPr>
          <w:rFonts w:ascii="宋体" w:cs="宋体"/>
          <w:sz w:val="15"/>
          <w:szCs w:val="15"/>
          <w:shd w:val="clear" w:color="050000" w:fill="auto"/>
        </w:rPr>
      </w:pPr>
    </w:p>
    <w:p>
      <w:pPr>
        <w:spacing w:line="160" w:lineRule="exact"/>
        <w:jc w:val="left"/>
        <w:rPr>
          <w:rFonts w:ascii="宋体" w:cs="宋体"/>
          <w:sz w:val="15"/>
          <w:szCs w:val="15"/>
          <w:shd w:val="clear" w:color="050000" w:fill="auto"/>
        </w:rPr>
      </w:pPr>
    </w:p>
    <w:p>
      <w:pPr>
        <w:spacing w:line="160" w:lineRule="exact"/>
        <w:jc w:val="left"/>
        <w:rPr>
          <w:rFonts w:ascii="宋体" w:cs="宋体"/>
          <w:sz w:val="15"/>
          <w:szCs w:val="15"/>
          <w:shd w:val="clear" w:color="050000" w:fill="auto"/>
        </w:rPr>
      </w:pPr>
    </w:p>
    <w:p>
      <w:pPr>
        <w:spacing w:line="160" w:lineRule="exact"/>
        <w:jc w:val="left"/>
        <w:rPr>
          <w:rFonts w:ascii="宋体" w:cs="宋体"/>
          <w:sz w:val="15"/>
          <w:szCs w:val="15"/>
          <w:shd w:val="clear" w:color="050000" w:fill="auto"/>
        </w:rPr>
      </w:pPr>
    </w:p>
    <w:p>
      <w:pPr>
        <w:spacing w:line="160" w:lineRule="exact"/>
        <w:jc w:val="left"/>
        <w:rPr>
          <w:rFonts w:ascii="宋体" w:cs="宋体"/>
          <w:sz w:val="15"/>
          <w:szCs w:val="15"/>
          <w:shd w:val="clear" w:color="050000" w:fill="auto"/>
        </w:rPr>
      </w:pPr>
    </w:p>
    <w:p>
      <w:pPr>
        <w:spacing w:line="160" w:lineRule="exact"/>
        <w:jc w:val="left"/>
        <w:rPr>
          <w:rFonts w:ascii="宋体" w:cs="宋体"/>
          <w:sz w:val="15"/>
          <w:szCs w:val="15"/>
          <w:shd w:val="clear" w:color="050000" w:fill="auto"/>
        </w:rPr>
      </w:pPr>
    </w:p>
    <w:p>
      <w:pPr>
        <w:spacing w:line="160" w:lineRule="exact"/>
        <w:jc w:val="left"/>
        <w:rPr>
          <w:rFonts w:ascii="宋体" w:cs="宋体"/>
          <w:sz w:val="15"/>
          <w:szCs w:val="15"/>
          <w:shd w:val="clear" w:color="050000" w:fill="auto"/>
        </w:rPr>
      </w:pPr>
    </w:p>
    <w:p>
      <w:pPr>
        <w:spacing w:line="160" w:lineRule="exact"/>
        <w:jc w:val="left"/>
        <w:rPr>
          <w:rFonts w:ascii="宋体" w:cs="宋体"/>
          <w:sz w:val="15"/>
          <w:szCs w:val="15"/>
          <w:shd w:val="clear" w:color="050000" w:fill="auto"/>
        </w:rPr>
      </w:pPr>
    </w:p>
    <w:p>
      <w:pPr>
        <w:spacing w:line="160" w:lineRule="exact"/>
        <w:jc w:val="left"/>
        <w:rPr>
          <w:rFonts w:ascii="宋体" w:cs="宋体"/>
          <w:sz w:val="15"/>
          <w:szCs w:val="15"/>
          <w:shd w:val="clear" w:color="050000" w:fill="auto"/>
        </w:rPr>
      </w:pPr>
    </w:p>
    <w:p>
      <w:pPr>
        <w:spacing w:line="160" w:lineRule="exact"/>
        <w:jc w:val="left"/>
        <w:rPr>
          <w:rFonts w:ascii="宋体" w:cs="宋体"/>
          <w:sz w:val="15"/>
          <w:szCs w:val="15"/>
          <w:shd w:val="clear" w:color="050000" w:fill="auto"/>
        </w:rPr>
      </w:pPr>
    </w:p>
    <w:p>
      <w:pPr>
        <w:spacing w:line="160" w:lineRule="exact"/>
        <w:jc w:val="left"/>
        <w:rPr>
          <w:rFonts w:ascii="宋体" w:cs="宋体"/>
          <w:sz w:val="15"/>
          <w:szCs w:val="15"/>
          <w:shd w:val="clear" w:color="050000" w:fill="auto"/>
        </w:rPr>
      </w:pPr>
      <w:r>
        <w:rPr>
          <w:rFonts w:hint="eastAsia" w:ascii="宋体" w:cs="宋体"/>
          <w:sz w:val="15"/>
          <w:szCs w:val="15"/>
          <w:shd w:val="clear" w:color="050000" w:fill="auto"/>
        </w:rPr>
        <w:t>表</w:t>
      </w:r>
      <w:r>
        <w:rPr>
          <w:rFonts w:ascii="宋体" w:cs="宋体"/>
          <w:sz w:val="15"/>
          <w:szCs w:val="15"/>
          <w:shd w:val="clear" w:color="050000" w:fill="auto"/>
        </w:rPr>
        <w:t>1-10</w:t>
      </w:r>
    </w:p>
    <w:p>
      <w:pPr>
        <w:spacing w:line="160" w:lineRule="exact"/>
        <w:jc w:val="left"/>
        <w:rPr>
          <w:rFonts w:ascii="宋体" w:cs="宋体"/>
          <w:sz w:val="15"/>
          <w:szCs w:val="15"/>
          <w:shd w:val="clear" w:color="050000" w:fill="auto"/>
        </w:rPr>
      </w:pPr>
    </w:p>
    <w:p>
      <w:pPr>
        <w:spacing w:line="160" w:lineRule="exact"/>
        <w:jc w:val="left"/>
        <w:rPr>
          <w:rFonts w:ascii="宋体" w:cs="宋体"/>
          <w:sz w:val="15"/>
          <w:szCs w:val="15"/>
          <w:shd w:val="clear" w:color="050000" w:fill="auto"/>
        </w:rPr>
      </w:pPr>
    </w:p>
    <w:tbl>
      <w:tblPr>
        <w:tblStyle w:val="5"/>
        <w:tblpPr w:leftFromText="180" w:rightFromText="180" w:vertAnchor="text" w:horzAnchor="page" w:tblpX="8256" w:tblpY="14"/>
        <w:tblOverlap w:val="never"/>
        <w:tblW w:w="3798" w:type="dxa"/>
        <w:tblInd w:w="0" w:type="dxa"/>
        <w:tblLayout w:type="fixed"/>
        <w:tblCellMar>
          <w:top w:w="0" w:type="dxa"/>
          <w:left w:w="15" w:type="dxa"/>
          <w:bottom w:w="0" w:type="dxa"/>
          <w:right w:w="15" w:type="dxa"/>
        </w:tblCellMar>
      </w:tblPr>
      <w:tblGrid>
        <w:gridCol w:w="998"/>
        <w:gridCol w:w="910"/>
        <w:gridCol w:w="892"/>
        <w:gridCol w:w="998"/>
      </w:tblGrid>
      <w:tr>
        <w:tblPrEx>
          <w:tblLayout w:type="fixed"/>
          <w:tblCellMar>
            <w:top w:w="0" w:type="dxa"/>
            <w:left w:w="15" w:type="dxa"/>
            <w:bottom w:w="0" w:type="dxa"/>
            <w:right w:w="15" w:type="dxa"/>
          </w:tblCellMar>
        </w:tblPrEx>
        <w:trPr>
          <w:trHeight w:val="221" w:hRule="atLeast"/>
        </w:trPr>
        <w:tc>
          <w:tcPr>
            <w:tcW w:w="3798" w:type="dxa"/>
            <w:gridSpan w:val="4"/>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color w:val="000000"/>
                <w:sz w:val="11"/>
                <w:szCs w:val="11"/>
              </w:rPr>
            </w:pPr>
            <w:r>
              <w:rPr>
                <w:rFonts w:hint="eastAsia" w:ascii="宋体" w:hAnsi="宋体"/>
                <w:color w:val="000000"/>
                <w:sz w:val="11"/>
                <w:szCs w:val="11"/>
              </w:rPr>
              <w:t>资产负债表（美元）</w:t>
            </w:r>
          </w:p>
        </w:tc>
      </w:tr>
      <w:tr>
        <w:tblPrEx>
          <w:tblLayout w:type="fixed"/>
          <w:tblCellMar>
            <w:top w:w="0" w:type="dxa"/>
            <w:left w:w="15" w:type="dxa"/>
            <w:bottom w:w="0" w:type="dxa"/>
            <w:right w:w="15" w:type="dxa"/>
          </w:tblCellMar>
        </w:tblPrEx>
        <w:trPr>
          <w:trHeight w:val="221" w:hRule="atLeast"/>
        </w:trPr>
        <w:tc>
          <w:tcPr>
            <w:tcW w:w="3798" w:type="dxa"/>
            <w:gridSpan w:val="4"/>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color w:val="000000"/>
                <w:sz w:val="11"/>
                <w:szCs w:val="11"/>
              </w:rPr>
            </w:pPr>
            <w:r>
              <w:rPr>
                <w:rFonts w:ascii="宋体" w:hAnsi="宋体"/>
                <w:color w:val="000000"/>
                <w:sz w:val="11"/>
                <w:szCs w:val="11"/>
              </w:rPr>
              <w:t>20**</w:t>
            </w:r>
            <w:r>
              <w:rPr>
                <w:rFonts w:hint="eastAsia" w:ascii="宋体" w:hAnsi="宋体"/>
                <w:color w:val="000000"/>
                <w:sz w:val="11"/>
                <w:szCs w:val="11"/>
              </w:rPr>
              <w:t>年</w:t>
            </w:r>
            <w:r>
              <w:rPr>
                <w:rFonts w:ascii="宋体" w:hAnsi="宋体"/>
                <w:color w:val="000000"/>
                <w:sz w:val="11"/>
                <w:szCs w:val="11"/>
              </w:rPr>
              <w:t>12</w:t>
            </w:r>
            <w:r>
              <w:rPr>
                <w:rFonts w:hint="eastAsia" w:ascii="宋体" w:hAnsi="宋体"/>
                <w:color w:val="000000"/>
                <w:sz w:val="11"/>
                <w:szCs w:val="11"/>
              </w:rPr>
              <w:t>月</w:t>
            </w:r>
            <w:r>
              <w:rPr>
                <w:rFonts w:ascii="宋体" w:hAnsi="宋体"/>
                <w:color w:val="000000"/>
                <w:sz w:val="11"/>
                <w:szCs w:val="11"/>
              </w:rPr>
              <w:t>31</w:t>
            </w:r>
            <w:r>
              <w:rPr>
                <w:rFonts w:hint="eastAsia" w:ascii="宋体" w:hAnsi="宋体"/>
                <w:color w:val="000000"/>
                <w:sz w:val="11"/>
                <w:szCs w:val="11"/>
              </w:rPr>
              <w:t>日</w:t>
            </w:r>
            <w:r>
              <w:rPr>
                <w:rFonts w:ascii="宋体" w:hAnsi="宋体"/>
                <w:color w:val="000000"/>
                <w:sz w:val="11"/>
                <w:szCs w:val="11"/>
              </w:rPr>
              <w:t xml:space="preserve">   </w:t>
            </w:r>
            <w:r>
              <w:rPr>
                <w:rFonts w:hint="eastAsia" w:ascii="宋体" w:hAnsi="宋体"/>
                <w:color w:val="000000"/>
                <w:sz w:val="11"/>
                <w:szCs w:val="11"/>
              </w:rPr>
              <w:t>单位：美元</w:t>
            </w:r>
          </w:p>
        </w:tc>
      </w:tr>
      <w:tr>
        <w:tblPrEx>
          <w:tblLayout w:type="fixed"/>
          <w:tblCellMar>
            <w:top w:w="0" w:type="dxa"/>
            <w:left w:w="15" w:type="dxa"/>
            <w:bottom w:w="0" w:type="dxa"/>
            <w:right w:w="15" w:type="dxa"/>
          </w:tblCellMar>
        </w:tblPrEx>
        <w:trPr>
          <w:trHeight w:val="167" w:hRule="atLeast"/>
        </w:trPr>
        <w:tc>
          <w:tcPr>
            <w:tcW w:w="998"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color w:val="000000"/>
                <w:sz w:val="11"/>
                <w:szCs w:val="11"/>
              </w:rPr>
            </w:pPr>
            <w:r>
              <w:rPr>
                <w:rFonts w:hint="eastAsia" w:ascii="宋体" w:hAnsi="宋体"/>
                <w:color w:val="000000"/>
                <w:sz w:val="11"/>
                <w:szCs w:val="11"/>
              </w:rPr>
              <w:t>资产</w:t>
            </w:r>
          </w:p>
        </w:tc>
        <w:tc>
          <w:tcPr>
            <w:tcW w:w="910"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color w:val="000000"/>
                <w:sz w:val="11"/>
                <w:szCs w:val="11"/>
              </w:rPr>
            </w:pPr>
            <w:r>
              <w:rPr>
                <w:rFonts w:hint="eastAsia" w:ascii="宋体" w:hAnsi="宋体"/>
                <w:color w:val="000000"/>
                <w:sz w:val="11"/>
                <w:szCs w:val="11"/>
              </w:rPr>
              <w:t>金额</w:t>
            </w:r>
          </w:p>
        </w:tc>
        <w:tc>
          <w:tcPr>
            <w:tcW w:w="8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color w:val="000000"/>
                <w:sz w:val="11"/>
                <w:szCs w:val="11"/>
              </w:rPr>
            </w:pPr>
            <w:r>
              <w:rPr>
                <w:rFonts w:hint="eastAsia" w:ascii="宋体" w:hAnsi="宋体"/>
                <w:color w:val="000000"/>
                <w:sz w:val="11"/>
                <w:szCs w:val="11"/>
              </w:rPr>
              <w:t>负债与所有者权益</w:t>
            </w:r>
          </w:p>
        </w:tc>
        <w:tc>
          <w:tcPr>
            <w:tcW w:w="998"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color w:val="000000"/>
                <w:sz w:val="11"/>
                <w:szCs w:val="11"/>
              </w:rPr>
            </w:pPr>
            <w:r>
              <w:rPr>
                <w:rFonts w:hint="eastAsia" w:ascii="宋体" w:hAnsi="宋体"/>
                <w:color w:val="000000"/>
                <w:sz w:val="11"/>
                <w:szCs w:val="11"/>
              </w:rPr>
              <w:t>金额</w:t>
            </w:r>
          </w:p>
        </w:tc>
      </w:tr>
      <w:tr>
        <w:tblPrEx>
          <w:tblLayout w:type="fixed"/>
          <w:tblCellMar>
            <w:top w:w="0" w:type="dxa"/>
            <w:left w:w="15" w:type="dxa"/>
            <w:bottom w:w="0" w:type="dxa"/>
            <w:right w:w="15" w:type="dxa"/>
          </w:tblCellMar>
        </w:tblPrEx>
        <w:trPr>
          <w:trHeight w:val="167" w:hRule="atLeast"/>
        </w:trPr>
        <w:tc>
          <w:tcPr>
            <w:tcW w:w="998" w:type="dxa"/>
            <w:tcBorders>
              <w:top w:val="single" w:color="000000" w:sz="4" w:space="0"/>
              <w:left w:val="single" w:color="000000" w:sz="4" w:space="0"/>
              <w:bottom w:val="single" w:color="000000" w:sz="4" w:space="0"/>
              <w:right w:val="single" w:color="000000" w:sz="4" w:space="0"/>
            </w:tcBorders>
            <w:vAlign w:val="center"/>
          </w:tcPr>
          <w:p>
            <w:pPr>
              <w:autoSpaceDN w:val="0"/>
              <w:jc w:val="left"/>
              <w:textAlignment w:val="center"/>
              <w:rPr>
                <w:rFonts w:ascii="宋体"/>
                <w:color w:val="000000"/>
                <w:sz w:val="11"/>
                <w:szCs w:val="11"/>
              </w:rPr>
            </w:pPr>
            <w:r>
              <w:rPr>
                <w:rFonts w:hint="eastAsia" w:ascii="宋体" w:hAnsi="宋体"/>
                <w:color w:val="000000"/>
                <w:sz w:val="11"/>
                <w:szCs w:val="11"/>
              </w:rPr>
              <w:t>流动资产</w:t>
            </w:r>
          </w:p>
        </w:tc>
        <w:tc>
          <w:tcPr>
            <w:tcW w:w="910" w:type="dxa"/>
            <w:tcBorders>
              <w:top w:val="single" w:color="000000" w:sz="4" w:space="0"/>
              <w:left w:val="single" w:color="000000" w:sz="4" w:space="0"/>
              <w:bottom w:val="single" w:color="000000" w:sz="4" w:space="0"/>
              <w:right w:val="single" w:color="000000" w:sz="4" w:space="0"/>
            </w:tcBorders>
            <w:vAlign w:val="center"/>
          </w:tcPr>
          <w:p>
            <w:pPr>
              <w:autoSpaceDN w:val="0"/>
              <w:jc w:val="left"/>
              <w:textAlignment w:val="center"/>
              <w:rPr>
                <w:rFonts w:ascii="宋体"/>
                <w:color w:val="000000"/>
                <w:sz w:val="11"/>
                <w:szCs w:val="11"/>
              </w:rPr>
            </w:pPr>
            <w:r>
              <w:rPr>
                <w:rFonts w:ascii="宋体" w:hAnsi="宋体"/>
                <w:color w:val="000000"/>
                <w:sz w:val="11"/>
                <w:szCs w:val="11"/>
              </w:rPr>
              <w:t xml:space="preserve">3,000,000.00 </w:t>
            </w:r>
          </w:p>
        </w:tc>
        <w:tc>
          <w:tcPr>
            <w:tcW w:w="892" w:type="dxa"/>
            <w:tcBorders>
              <w:top w:val="single" w:color="000000" w:sz="4" w:space="0"/>
              <w:left w:val="single" w:color="000000" w:sz="4" w:space="0"/>
              <w:bottom w:val="single" w:color="000000" w:sz="4" w:space="0"/>
              <w:right w:val="single" w:color="000000" w:sz="4" w:space="0"/>
            </w:tcBorders>
            <w:vAlign w:val="center"/>
          </w:tcPr>
          <w:p>
            <w:pPr>
              <w:autoSpaceDN w:val="0"/>
              <w:jc w:val="left"/>
              <w:textAlignment w:val="center"/>
              <w:rPr>
                <w:rFonts w:ascii="宋体"/>
                <w:color w:val="000000"/>
                <w:sz w:val="11"/>
                <w:szCs w:val="11"/>
              </w:rPr>
            </w:pPr>
            <w:r>
              <w:rPr>
                <w:rFonts w:hint="eastAsia" w:ascii="宋体" w:hAnsi="宋体"/>
                <w:color w:val="000000"/>
                <w:sz w:val="11"/>
                <w:szCs w:val="11"/>
              </w:rPr>
              <w:t>涌动负债</w:t>
            </w:r>
          </w:p>
        </w:tc>
        <w:tc>
          <w:tcPr>
            <w:tcW w:w="998" w:type="dxa"/>
            <w:tcBorders>
              <w:top w:val="single" w:color="000000" w:sz="4" w:space="0"/>
              <w:left w:val="single" w:color="000000" w:sz="4" w:space="0"/>
              <w:bottom w:val="single" w:color="000000" w:sz="4" w:space="0"/>
              <w:right w:val="single" w:color="000000" w:sz="4" w:space="0"/>
            </w:tcBorders>
            <w:vAlign w:val="center"/>
          </w:tcPr>
          <w:p>
            <w:pPr>
              <w:autoSpaceDN w:val="0"/>
              <w:jc w:val="left"/>
              <w:textAlignment w:val="center"/>
              <w:rPr>
                <w:rFonts w:ascii="宋体"/>
                <w:color w:val="000000"/>
                <w:sz w:val="11"/>
                <w:szCs w:val="11"/>
              </w:rPr>
            </w:pPr>
            <w:r>
              <w:rPr>
                <w:rFonts w:ascii="宋体" w:hAnsi="宋体"/>
                <w:color w:val="000000"/>
                <w:sz w:val="11"/>
                <w:szCs w:val="11"/>
              </w:rPr>
              <w:t xml:space="preserve">2,800,000.00 </w:t>
            </w:r>
          </w:p>
        </w:tc>
      </w:tr>
      <w:tr>
        <w:tblPrEx>
          <w:tblLayout w:type="fixed"/>
          <w:tblCellMar>
            <w:top w:w="0" w:type="dxa"/>
            <w:left w:w="15" w:type="dxa"/>
            <w:bottom w:w="0" w:type="dxa"/>
            <w:right w:w="15" w:type="dxa"/>
          </w:tblCellMar>
        </w:tblPrEx>
        <w:trPr>
          <w:trHeight w:val="167" w:hRule="atLeast"/>
        </w:trPr>
        <w:tc>
          <w:tcPr>
            <w:tcW w:w="998" w:type="dxa"/>
            <w:tcBorders>
              <w:top w:val="single" w:color="000000" w:sz="4" w:space="0"/>
              <w:left w:val="single" w:color="000000" w:sz="4" w:space="0"/>
              <w:bottom w:val="single" w:color="000000" w:sz="4" w:space="0"/>
              <w:right w:val="single" w:color="000000" w:sz="4" w:space="0"/>
            </w:tcBorders>
            <w:vAlign w:val="center"/>
          </w:tcPr>
          <w:p>
            <w:pPr>
              <w:autoSpaceDN w:val="0"/>
              <w:jc w:val="left"/>
              <w:textAlignment w:val="center"/>
              <w:rPr>
                <w:rFonts w:ascii="宋体"/>
                <w:color w:val="000000"/>
                <w:sz w:val="11"/>
                <w:szCs w:val="11"/>
              </w:rPr>
            </w:pPr>
            <w:r>
              <w:rPr>
                <w:rFonts w:hint="eastAsia" w:ascii="宋体" w:hAnsi="宋体"/>
                <w:color w:val="000000"/>
                <w:sz w:val="11"/>
                <w:szCs w:val="11"/>
              </w:rPr>
              <w:t>长期股权投资</w:t>
            </w:r>
          </w:p>
        </w:tc>
        <w:tc>
          <w:tcPr>
            <w:tcW w:w="910" w:type="dxa"/>
            <w:tcBorders>
              <w:top w:val="single" w:color="000000" w:sz="4" w:space="0"/>
              <w:left w:val="single" w:color="000000" w:sz="4" w:space="0"/>
              <w:bottom w:val="single" w:color="000000" w:sz="4" w:space="0"/>
              <w:right w:val="single" w:color="000000" w:sz="4" w:space="0"/>
            </w:tcBorders>
            <w:vAlign w:val="center"/>
          </w:tcPr>
          <w:p>
            <w:pPr>
              <w:autoSpaceDN w:val="0"/>
              <w:jc w:val="left"/>
              <w:textAlignment w:val="center"/>
              <w:rPr>
                <w:rFonts w:ascii="宋体"/>
                <w:color w:val="000000"/>
                <w:sz w:val="11"/>
                <w:szCs w:val="11"/>
              </w:rPr>
            </w:pPr>
            <w:r>
              <w:rPr>
                <w:rFonts w:ascii="宋体" w:hAnsi="宋体"/>
                <w:color w:val="000000"/>
                <w:sz w:val="11"/>
                <w:szCs w:val="11"/>
              </w:rPr>
              <w:t xml:space="preserve">1,200,000.00 </w:t>
            </w:r>
          </w:p>
        </w:tc>
        <w:tc>
          <w:tcPr>
            <w:tcW w:w="892" w:type="dxa"/>
            <w:tcBorders>
              <w:top w:val="single" w:color="000000" w:sz="4" w:space="0"/>
              <w:left w:val="single" w:color="000000" w:sz="4" w:space="0"/>
              <w:bottom w:val="single" w:color="000000" w:sz="4" w:space="0"/>
              <w:right w:val="single" w:color="000000" w:sz="4" w:space="0"/>
            </w:tcBorders>
            <w:vAlign w:val="center"/>
          </w:tcPr>
          <w:p>
            <w:pPr>
              <w:autoSpaceDN w:val="0"/>
              <w:jc w:val="left"/>
              <w:textAlignment w:val="center"/>
              <w:rPr>
                <w:rFonts w:ascii="宋体"/>
                <w:color w:val="000000"/>
                <w:sz w:val="11"/>
                <w:szCs w:val="11"/>
              </w:rPr>
            </w:pPr>
            <w:r>
              <w:rPr>
                <w:rFonts w:hint="eastAsia" w:ascii="宋体" w:hAnsi="宋体"/>
                <w:color w:val="000000"/>
                <w:sz w:val="11"/>
                <w:szCs w:val="11"/>
              </w:rPr>
              <w:t>长期负债</w:t>
            </w:r>
          </w:p>
        </w:tc>
        <w:tc>
          <w:tcPr>
            <w:tcW w:w="998" w:type="dxa"/>
            <w:tcBorders>
              <w:top w:val="single" w:color="000000" w:sz="4" w:space="0"/>
              <w:left w:val="single" w:color="000000" w:sz="4" w:space="0"/>
              <w:bottom w:val="single" w:color="000000" w:sz="4" w:space="0"/>
              <w:right w:val="single" w:color="000000" w:sz="4" w:space="0"/>
            </w:tcBorders>
            <w:vAlign w:val="center"/>
          </w:tcPr>
          <w:p>
            <w:pPr>
              <w:autoSpaceDN w:val="0"/>
              <w:jc w:val="left"/>
              <w:textAlignment w:val="center"/>
              <w:rPr>
                <w:rFonts w:ascii="宋体"/>
                <w:color w:val="000000"/>
                <w:sz w:val="11"/>
                <w:szCs w:val="11"/>
              </w:rPr>
            </w:pPr>
            <w:r>
              <w:rPr>
                <w:rFonts w:ascii="宋体" w:hAnsi="宋体"/>
                <w:color w:val="000000"/>
                <w:sz w:val="11"/>
                <w:szCs w:val="11"/>
              </w:rPr>
              <w:t xml:space="preserve">200,000.00 </w:t>
            </w:r>
          </w:p>
        </w:tc>
      </w:tr>
      <w:tr>
        <w:tblPrEx>
          <w:tblLayout w:type="fixed"/>
          <w:tblCellMar>
            <w:top w:w="0" w:type="dxa"/>
            <w:left w:w="15" w:type="dxa"/>
            <w:bottom w:w="0" w:type="dxa"/>
            <w:right w:w="15" w:type="dxa"/>
          </w:tblCellMar>
        </w:tblPrEx>
        <w:trPr>
          <w:trHeight w:val="167" w:hRule="atLeast"/>
        </w:trPr>
        <w:tc>
          <w:tcPr>
            <w:tcW w:w="998" w:type="dxa"/>
            <w:tcBorders>
              <w:top w:val="single" w:color="000000" w:sz="4" w:space="0"/>
              <w:left w:val="single" w:color="000000" w:sz="4" w:space="0"/>
              <w:bottom w:val="single" w:color="000000" w:sz="4" w:space="0"/>
              <w:right w:val="single" w:color="000000" w:sz="4" w:space="0"/>
            </w:tcBorders>
            <w:vAlign w:val="center"/>
          </w:tcPr>
          <w:p>
            <w:pPr>
              <w:autoSpaceDN w:val="0"/>
              <w:jc w:val="left"/>
              <w:textAlignment w:val="center"/>
              <w:rPr>
                <w:rFonts w:ascii="宋体"/>
                <w:color w:val="000000"/>
                <w:sz w:val="11"/>
                <w:szCs w:val="11"/>
              </w:rPr>
            </w:pPr>
            <w:r>
              <w:rPr>
                <w:rFonts w:hint="eastAsia" w:ascii="宋体" w:hAnsi="宋体"/>
                <w:color w:val="000000"/>
                <w:sz w:val="11"/>
                <w:szCs w:val="11"/>
              </w:rPr>
              <w:t>固定资产</w:t>
            </w:r>
          </w:p>
        </w:tc>
        <w:tc>
          <w:tcPr>
            <w:tcW w:w="910" w:type="dxa"/>
            <w:tcBorders>
              <w:top w:val="single" w:color="000000" w:sz="4" w:space="0"/>
              <w:left w:val="single" w:color="000000" w:sz="4" w:space="0"/>
              <w:bottom w:val="single" w:color="000000" w:sz="4" w:space="0"/>
              <w:right w:val="single" w:color="000000" w:sz="4" w:space="0"/>
            </w:tcBorders>
            <w:vAlign w:val="center"/>
          </w:tcPr>
          <w:p>
            <w:pPr>
              <w:autoSpaceDN w:val="0"/>
              <w:jc w:val="left"/>
              <w:textAlignment w:val="center"/>
              <w:rPr>
                <w:rFonts w:ascii="宋体"/>
                <w:color w:val="000000"/>
                <w:sz w:val="11"/>
                <w:szCs w:val="11"/>
              </w:rPr>
            </w:pPr>
            <w:r>
              <w:rPr>
                <w:rFonts w:ascii="宋体" w:hAnsi="宋体"/>
                <w:color w:val="000000"/>
                <w:sz w:val="11"/>
                <w:szCs w:val="11"/>
              </w:rPr>
              <w:t xml:space="preserve">1,500,000.00 </w:t>
            </w:r>
          </w:p>
        </w:tc>
        <w:tc>
          <w:tcPr>
            <w:tcW w:w="892" w:type="dxa"/>
            <w:tcBorders>
              <w:top w:val="single" w:color="000000" w:sz="4" w:space="0"/>
              <w:left w:val="single" w:color="000000" w:sz="4" w:space="0"/>
              <w:bottom w:val="single" w:color="000000" w:sz="4" w:space="0"/>
              <w:right w:val="single" w:color="000000" w:sz="4" w:space="0"/>
            </w:tcBorders>
            <w:vAlign w:val="center"/>
          </w:tcPr>
          <w:p>
            <w:pPr>
              <w:autoSpaceDN w:val="0"/>
              <w:jc w:val="left"/>
              <w:textAlignment w:val="center"/>
              <w:rPr>
                <w:rFonts w:ascii="宋体"/>
                <w:color w:val="000000"/>
                <w:sz w:val="11"/>
                <w:szCs w:val="11"/>
              </w:rPr>
            </w:pPr>
            <w:r>
              <w:rPr>
                <w:rFonts w:hint="eastAsia" w:ascii="宋体" w:hAnsi="宋体"/>
                <w:color w:val="000000"/>
                <w:sz w:val="11"/>
                <w:szCs w:val="11"/>
              </w:rPr>
              <w:t>所有者权益</w:t>
            </w:r>
          </w:p>
        </w:tc>
        <w:tc>
          <w:tcPr>
            <w:tcW w:w="998" w:type="dxa"/>
            <w:tcBorders>
              <w:top w:val="single" w:color="000000" w:sz="4" w:space="0"/>
              <w:left w:val="single" w:color="000000" w:sz="4" w:space="0"/>
              <w:bottom w:val="single" w:color="000000" w:sz="4" w:space="0"/>
              <w:right w:val="single" w:color="000000" w:sz="4" w:space="0"/>
            </w:tcBorders>
            <w:vAlign w:val="center"/>
          </w:tcPr>
          <w:p>
            <w:pPr>
              <w:autoSpaceDN w:val="0"/>
              <w:jc w:val="left"/>
              <w:textAlignment w:val="center"/>
              <w:rPr>
                <w:rFonts w:ascii="宋体"/>
                <w:color w:val="000000"/>
                <w:sz w:val="11"/>
                <w:szCs w:val="11"/>
              </w:rPr>
            </w:pPr>
          </w:p>
        </w:tc>
      </w:tr>
      <w:tr>
        <w:tblPrEx>
          <w:tblLayout w:type="fixed"/>
          <w:tblCellMar>
            <w:top w:w="0" w:type="dxa"/>
            <w:left w:w="15" w:type="dxa"/>
            <w:bottom w:w="0" w:type="dxa"/>
            <w:right w:w="15" w:type="dxa"/>
          </w:tblCellMar>
        </w:tblPrEx>
        <w:trPr>
          <w:trHeight w:val="167" w:hRule="atLeast"/>
        </w:trPr>
        <w:tc>
          <w:tcPr>
            <w:tcW w:w="998" w:type="dxa"/>
            <w:tcBorders>
              <w:top w:val="single" w:color="000000" w:sz="4" w:space="0"/>
              <w:left w:val="single" w:color="000000" w:sz="4" w:space="0"/>
              <w:bottom w:val="single" w:color="000000" w:sz="4" w:space="0"/>
              <w:right w:val="single" w:color="000000" w:sz="4" w:space="0"/>
            </w:tcBorders>
            <w:vAlign w:val="center"/>
          </w:tcPr>
          <w:p>
            <w:pPr>
              <w:autoSpaceDN w:val="0"/>
              <w:jc w:val="left"/>
              <w:textAlignment w:val="center"/>
              <w:rPr>
                <w:rFonts w:ascii="宋体"/>
                <w:color w:val="000000"/>
                <w:sz w:val="11"/>
                <w:szCs w:val="11"/>
              </w:rPr>
            </w:pPr>
            <w:r>
              <w:rPr>
                <w:rFonts w:hint="eastAsia" w:ascii="宋体" w:hAnsi="宋体"/>
                <w:color w:val="000000"/>
                <w:sz w:val="11"/>
                <w:szCs w:val="11"/>
              </w:rPr>
              <w:t>无形资产及递延资产</w:t>
            </w:r>
          </w:p>
        </w:tc>
        <w:tc>
          <w:tcPr>
            <w:tcW w:w="910" w:type="dxa"/>
            <w:tcBorders>
              <w:top w:val="single" w:color="000000" w:sz="4" w:space="0"/>
              <w:left w:val="single" w:color="000000" w:sz="4" w:space="0"/>
              <w:bottom w:val="single" w:color="000000" w:sz="4" w:space="0"/>
              <w:right w:val="single" w:color="000000" w:sz="4" w:space="0"/>
            </w:tcBorders>
            <w:vAlign w:val="center"/>
          </w:tcPr>
          <w:p>
            <w:pPr>
              <w:autoSpaceDN w:val="0"/>
              <w:jc w:val="left"/>
              <w:textAlignment w:val="center"/>
              <w:rPr>
                <w:rFonts w:ascii="宋体"/>
                <w:color w:val="000000"/>
                <w:sz w:val="11"/>
                <w:szCs w:val="11"/>
              </w:rPr>
            </w:pPr>
            <w:r>
              <w:rPr>
                <w:rFonts w:ascii="宋体" w:hAnsi="宋体"/>
                <w:color w:val="000000"/>
                <w:sz w:val="11"/>
                <w:szCs w:val="11"/>
              </w:rPr>
              <w:t xml:space="preserve">200,000.00 </w:t>
            </w:r>
          </w:p>
        </w:tc>
        <w:tc>
          <w:tcPr>
            <w:tcW w:w="892" w:type="dxa"/>
            <w:tcBorders>
              <w:top w:val="single" w:color="000000" w:sz="4" w:space="0"/>
              <w:left w:val="single" w:color="000000" w:sz="4" w:space="0"/>
              <w:bottom w:val="single" w:color="000000" w:sz="4" w:space="0"/>
              <w:right w:val="single" w:color="000000" w:sz="4" w:space="0"/>
            </w:tcBorders>
            <w:vAlign w:val="center"/>
          </w:tcPr>
          <w:p>
            <w:pPr>
              <w:autoSpaceDN w:val="0"/>
              <w:jc w:val="left"/>
              <w:textAlignment w:val="center"/>
              <w:rPr>
                <w:rFonts w:ascii="宋体"/>
                <w:color w:val="000000"/>
                <w:sz w:val="11"/>
                <w:szCs w:val="11"/>
              </w:rPr>
            </w:pPr>
            <w:r>
              <w:rPr>
                <w:rFonts w:hint="eastAsia" w:ascii="宋体" w:hAnsi="宋体"/>
                <w:color w:val="000000"/>
                <w:sz w:val="11"/>
                <w:szCs w:val="11"/>
              </w:rPr>
              <w:t>实收资本</w:t>
            </w:r>
          </w:p>
        </w:tc>
        <w:tc>
          <w:tcPr>
            <w:tcW w:w="998" w:type="dxa"/>
            <w:tcBorders>
              <w:top w:val="single" w:color="000000" w:sz="4" w:space="0"/>
              <w:left w:val="single" w:color="000000" w:sz="4" w:space="0"/>
              <w:bottom w:val="single" w:color="000000" w:sz="4" w:space="0"/>
              <w:right w:val="single" w:color="000000" w:sz="4" w:space="0"/>
            </w:tcBorders>
            <w:vAlign w:val="center"/>
          </w:tcPr>
          <w:p>
            <w:pPr>
              <w:autoSpaceDN w:val="0"/>
              <w:jc w:val="left"/>
              <w:textAlignment w:val="center"/>
              <w:rPr>
                <w:rFonts w:ascii="宋体"/>
                <w:color w:val="000000"/>
                <w:sz w:val="11"/>
                <w:szCs w:val="11"/>
              </w:rPr>
            </w:pPr>
            <w:r>
              <w:rPr>
                <w:rFonts w:ascii="宋体" w:hAnsi="宋体"/>
                <w:color w:val="000000"/>
                <w:sz w:val="11"/>
                <w:szCs w:val="11"/>
              </w:rPr>
              <w:t xml:space="preserve">2,000,000.00 </w:t>
            </w:r>
          </w:p>
        </w:tc>
      </w:tr>
      <w:tr>
        <w:tblPrEx>
          <w:tblLayout w:type="fixed"/>
          <w:tblCellMar>
            <w:top w:w="0" w:type="dxa"/>
            <w:left w:w="15" w:type="dxa"/>
            <w:bottom w:w="0" w:type="dxa"/>
            <w:right w:w="15" w:type="dxa"/>
          </w:tblCellMar>
        </w:tblPrEx>
        <w:trPr>
          <w:trHeight w:val="167" w:hRule="atLeast"/>
        </w:trPr>
        <w:tc>
          <w:tcPr>
            <w:tcW w:w="998" w:type="dxa"/>
            <w:tcBorders>
              <w:top w:val="single" w:color="000000" w:sz="4" w:space="0"/>
              <w:left w:val="single" w:color="000000" w:sz="4" w:space="0"/>
              <w:bottom w:val="single" w:color="000000" w:sz="4" w:space="0"/>
              <w:right w:val="single" w:color="000000" w:sz="4" w:space="0"/>
            </w:tcBorders>
            <w:vAlign w:val="center"/>
          </w:tcPr>
          <w:p>
            <w:pPr>
              <w:autoSpaceDN w:val="0"/>
              <w:jc w:val="left"/>
              <w:textAlignment w:val="center"/>
              <w:rPr>
                <w:rFonts w:ascii="宋体"/>
                <w:color w:val="000000"/>
                <w:sz w:val="11"/>
                <w:szCs w:val="11"/>
              </w:rPr>
            </w:pPr>
            <w:r>
              <w:rPr>
                <w:rFonts w:hint="eastAsia" w:ascii="宋体" w:hAnsi="宋体"/>
                <w:color w:val="000000"/>
                <w:sz w:val="11"/>
                <w:szCs w:val="11"/>
              </w:rPr>
              <w:t>其他资产</w:t>
            </w:r>
          </w:p>
        </w:tc>
        <w:tc>
          <w:tcPr>
            <w:tcW w:w="910" w:type="dxa"/>
            <w:tcBorders>
              <w:top w:val="single" w:color="000000" w:sz="4" w:space="0"/>
              <w:left w:val="single" w:color="000000" w:sz="4" w:space="0"/>
              <w:bottom w:val="single" w:color="000000" w:sz="4" w:space="0"/>
              <w:right w:val="single" w:color="000000" w:sz="4" w:space="0"/>
            </w:tcBorders>
            <w:vAlign w:val="center"/>
          </w:tcPr>
          <w:p>
            <w:pPr>
              <w:autoSpaceDN w:val="0"/>
              <w:jc w:val="left"/>
              <w:textAlignment w:val="center"/>
              <w:rPr>
                <w:rFonts w:ascii="宋体"/>
                <w:color w:val="000000"/>
                <w:sz w:val="11"/>
                <w:szCs w:val="11"/>
              </w:rPr>
            </w:pPr>
            <w:r>
              <w:rPr>
                <w:rFonts w:ascii="宋体" w:hAnsi="宋体"/>
                <w:color w:val="000000"/>
                <w:sz w:val="11"/>
                <w:szCs w:val="11"/>
              </w:rPr>
              <w:t xml:space="preserve">100,000.00 </w:t>
            </w:r>
          </w:p>
        </w:tc>
        <w:tc>
          <w:tcPr>
            <w:tcW w:w="892" w:type="dxa"/>
            <w:tcBorders>
              <w:top w:val="single" w:color="000000" w:sz="4" w:space="0"/>
              <w:left w:val="single" w:color="000000" w:sz="4" w:space="0"/>
              <w:bottom w:val="single" w:color="000000" w:sz="4" w:space="0"/>
              <w:right w:val="single" w:color="000000" w:sz="4" w:space="0"/>
            </w:tcBorders>
            <w:vAlign w:val="center"/>
          </w:tcPr>
          <w:p>
            <w:pPr>
              <w:autoSpaceDN w:val="0"/>
              <w:jc w:val="left"/>
              <w:textAlignment w:val="center"/>
              <w:rPr>
                <w:rFonts w:ascii="宋体"/>
                <w:color w:val="000000"/>
                <w:sz w:val="11"/>
                <w:szCs w:val="11"/>
              </w:rPr>
            </w:pPr>
            <w:r>
              <w:rPr>
                <w:rFonts w:hint="eastAsia" w:ascii="宋体" w:hAnsi="宋体"/>
                <w:color w:val="000000"/>
                <w:sz w:val="11"/>
                <w:szCs w:val="11"/>
              </w:rPr>
              <w:t>未分配利润</w:t>
            </w:r>
          </w:p>
        </w:tc>
        <w:tc>
          <w:tcPr>
            <w:tcW w:w="998" w:type="dxa"/>
            <w:tcBorders>
              <w:top w:val="single" w:color="000000" w:sz="4" w:space="0"/>
              <w:left w:val="single" w:color="000000" w:sz="4" w:space="0"/>
              <w:bottom w:val="single" w:color="000000" w:sz="4" w:space="0"/>
              <w:right w:val="single" w:color="000000" w:sz="4" w:space="0"/>
            </w:tcBorders>
            <w:vAlign w:val="center"/>
          </w:tcPr>
          <w:p>
            <w:pPr>
              <w:autoSpaceDN w:val="0"/>
              <w:jc w:val="left"/>
              <w:textAlignment w:val="center"/>
              <w:rPr>
                <w:rFonts w:ascii="宋体"/>
                <w:color w:val="000000"/>
                <w:sz w:val="11"/>
                <w:szCs w:val="11"/>
              </w:rPr>
            </w:pPr>
            <w:r>
              <w:rPr>
                <w:rFonts w:ascii="宋体" w:hAnsi="宋体"/>
                <w:color w:val="000000"/>
                <w:sz w:val="11"/>
                <w:szCs w:val="11"/>
              </w:rPr>
              <w:t xml:space="preserve">1,000,000.00 </w:t>
            </w:r>
          </w:p>
        </w:tc>
      </w:tr>
      <w:tr>
        <w:tblPrEx>
          <w:tblLayout w:type="fixed"/>
          <w:tblCellMar>
            <w:top w:w="0" w:type="dxa"/>
            <w:left w:w="15" w:type="dxa"/>
            <w:bottom w:w="0" w:type="dxa"/>
            <w:right w:w="15" w:type="dxa"/>
          </w:tblCellMar>
        </w:tblPrEx>
        <w:trPr>
          <w:trHeight w:val="185" w:hRule="atLeast"/>
        </w:trPr>
        <w:tc>
          <w:tcPr>
            <w:tcW w:w="998" w:type="dxa"/>
            <w:tcBorders>
              <w:top w:val="single" w:color="000000" w:sz="4" w:space="0"/>
              <w:left w:val="single" w:color="000000" w:sz="4" w:space="0"/>
              <w:bottom w:val="single" w:color="000000" w:sz="4" w:space="0"/>
              <w:right w:val="single" w:color="000000" w:sz="4" w:space="0"/>
            </w:tcBorders>
            <w:vAlign w:val="center"/>
          </w:tcPr>
          <w:p>
            <w:pPr>
              <w:autoSpaceDN w:val="0"/>
              <w:jc w:val="left"/>
              <w:textAlignment w:val="center"/>
              <w:rPr>
                <w:rFonts w:ascii="宋体"/>
                <w:color w:val="000000"/>
                <w:sz w:val="11"/>
                <w:szCs w:val="11"/>
              </w:rPr>
            </w:pPr>
            <w:r>
              <w:rPr>
                <w:rFonts w:hint="eastAsia" w:ascii="宋体" w:hAnsi="宋体"/>
                <w:color w:val="000000"/>
                <w:sz w:val="11"/>
                <w:szCs w:val="11"/>
              </w:rPr>
              <w:t>合计</w:t>
            </w:r>
          </w:p>
        </w:tc>
        <w:tc>
          <w:tcPr>
            <w:tcW w:w="910" w:type="dxa"/>
            <w:tcBorders>
              <w:top w:val="single" w:color="000000" w:sz="4" w:space="0"/>
              <w:left w:val="single" w:color="000000" w:sz="4" w:space="0"/>
              <w:bottom w:val="single" w:color="000000" w:sz="4" w:space="0"/>
              <w:right w:val="single" w:color="000000" w:sz="4" w:space="0"/>
            </w:tcBorders>
            <w:vAlign w:val="center"/>
          </w:tcPr>
          <w:p>
            <w:pPr>
              <w:autoSpaceDN w:val="0"/>
              <w:jc w:val="left"/>
              <w:textAlignment w:val="center"/>
              <w:rPr>
                <w:rFonts w:ascii="宋体"/>
                <w:color w:val="000000"/>
                <w:sz w:val="11"/>
                <w:szCs w:val="11"/>
              </w:rPr>
            </w:pPr>
            <w:r>
              <w:rPr>
                <w:rFonts w:ascii="宋体" w:hAnsi="宋体"/>
                <w:color w:val="000000"/>
                <w:sz w:val="11"/>
                <w:szCs w:val="11"/>
              </w:rPr>
              <w:t xml:space="preserve">6,000,000.00 </w:t>
            </w:r>
          </w:p>
        </w:tc>
        <w:tc>
          <w:tcPr>
            <w:tcW w:w="892" w:type="dxa"/>
            <w:tcBorders>
              <w:top w:val="single" w:color="000000" w:sz="4" w:space="0"/>
              <w:left w:val="single" w:color="000000" w:sz="4" w:space="0"/>
              <w:bottom w:val="single" w:color="000000" w:sz="4" w:space="0"/>
              <w:right w:val="single" w:color="000000" w:sz="4" w:space="0"/>
            </w:tcBorders>
            <w:vAlign w:val="center"/>
          </w:tcPr>
          <w:p>
            <w:pPr>
              <w:autoSpaceDN w:val="0"/>
              <w:jc w:val="left"/>
              <w:textAlignment w:val="center"/>
              <w:rPr>
                <w:rFonts w:ascii="宋体"/>
                <w:color w:val="000000"/>
                <w:sz w:val="11"/>
                <w:szCs w:val="11"/>
              </w:rPr>
            </w:pPr>
            <w:r>
              <w:rPr>
                <w:rFonts w:hint="eastAsia" w:ascii="宋体" w:hAnsi="宋体"/>
                <w:color w:val="000000"/>
                <w:sz w:val="11"/>
                <w:szCs w:val="11"/>
              </w:rPr>
              <w:t>合计</w:t>
            </w:r>
          </w:p>
        </w:tc>
        <w:tc>
          <w:tcPr>
            <w:tcW w:w="998" w:type="dxa"/>
            <w:tcBorders>
              <w:top w:val="single" w:color="000000" w:sz="4" w:space="0"/>
              <w:left w:val="single" w:color="000000" w:sz="4" w:space="0"/>
              <w:bottom w:val="single" w:color="000000" w:sz="4" w:space="0"/>
              <w:right w:val="single" w:color="000000" w:sz="4" w:space="0"/>
            </w:tcBorders>
            <w:vAlign w:val="center"/>
          </w:tcPr>
          <w:p>
            <w:pPr>
              <w:autoSpaceDN w:val="0"/>
              <w:jc w:val="left"/>
              <w:textAlignment w:val="center"/>
              <w:rPr>
                <w:rFonts w:ascii="宋体"/>
                <w:color w:val="000000"/>
                <w:sz w:val="11"/>
                <w:szCs w:val="11"/>
              </w:rPr>
            </w:pPr>
            <w:r>
              <w:rPr>
                <w:rFonts w:ascii="宋体" w:hAnsi="宋体"/>
                <w:color w:val="000000"/>
                <w:sz w:val="11"/>
                <w:szCs w:val="11"/>
              </w:rPr>
              <w:t xml:space="preserve">6,000,000.00 </w:t>
            </w:r>
          </w:p>
        </w:tc>
      </w:tr>
    </w:tbl>
    <w:p>
      <w:pPr>
        <w:spacing w:line="160" w:lineRule="exact"/>
        <w:jc w:val="left"/>
        <w:rPr>
          <w:rFonts w:ascii="宋体" w:cs="宋体"/>
          <w:sz w:val="15"/>
          <w:szCs w:val="15"/>
        </w:rPr>
      </w:pPr>
    </w:p>
    <w:p>
      <w:pPr>
        <w:numPr>
          <w:ilvl w:val="0"/>
          <w:numId w:val="2"/>
        </w:numPr>
        <w:spacing w:line="160" w:lineRule="exact"/>
        <w:jc w:val="left"/>
        <w:rPr>
          <w:rFonts w:ascii="宋体" w:cs="宋体"/>
          <w:sz w:val="15"/>
          <w:szCs w:val="15"/>
        </w:rPr>
      </w:pPr>
      <w:r>
        <w:rPr>
          <w:rFonts w:hint="eastAsia" w:ascii="宋体" w:hAnsi="宋体" w:cs="宋体"/>
          <w:sz w:val="15"/>
          <w:szCs w:val="15"/>
        </w:rPr>
        <w:t>营业利润</w:t>
      </w:r>
      <w:r>
        <w:rPr>
          <w:rFonts w:ascii="宋体" w:hAnsi="宋体" w:cs="宋体"/>
          <w:sz w:val="15"/>
          <w:szCs w:val="15"/>
        </w:rPr>
        <w:t>=</w:t>
      </w:r>
      <w:r>
        <w:rPr>
          <w:rFonts w:hint="eastAsia" w:ascii="宋体" w:hAnsi="宋体" w:cs="宋体"/>
          <w:sz w:val="15"/>
          <w:szCs w:val="15"/>
        </w:rPr>
        <w:t>营业收入</w:t>
      </w:r>
      <w:r>
        <w:rPr>
          <w:rFonts w:ascii="宋体" w:cs="宋体"/>
          <w:sz w:val="15"/>
          <w:szCs w:val="15"/>
        </w:rPr>
        <w:t>-</w:t>
      </w:r>
      <w:r>
        <w:rPr>
          <w:rFonts w:hint="eastAsia" w:ascii="宋体" w:hAnsi="宋体" w:cs="宋体"/>
          <w:sz w:val="15"/>
          <w:szCs w:val="15"/>
        </w:rPr>
        <w:t>营业成本</w:t>
      </w:r>
      <w:r>
        <w:rPr>
          <w:rFonts w:ascii="宋体" w:cs="宋体"/>
          <w:sz w:val="15"/>
          <w:szCs w:val="15"/>
        </w:rPr>
        <w:t>-</w:t>
      </w:r>
      <w:r>
        <w:rPr>
          <w:rFonts w:hint="eastAsia" w:ascii="宋体" w:hAnsi="宋体" w:cs="宋体"/>
          <w:sz w:val="15"/>
          <w:szCs w:val="15"/>
        </w:rPr>
        <w:t>营业成本</w:t>
      </w:r>
      <w:r>
        <w:rPr>
          <w:rFonts w:ascii="宋体" w:cs="宋体"/>
          <w:sz w:val="15"/>
          <w:szCs w:val="15"/>
        </w:rPr>
        <w:t>-</w:t>
      </w:r>
      <w:r>
        <w:rPr>
          <w:rFonts w:hint="eastAsia" w:ascii="宋体" w:hAnsi="宋体" w:cs="宋体"/>
          <w:sz w:val="15"/>
          <w:szCs w:val="15"/>
        </w:rPr>
        <w:t>管理费用</w:t>
      </w:r>
      <w:r>
        <w:rPr>
          <w:rFonts w:ascii="宋体" w:cs="宋体"/>
          <w:sz w:val="15"/>
          <w:szCs w:val="15"/>
        </w:rPr>
        <w:t>-</w:t>
      </w:r>
      <w:r>
        <w:rPr>
          <w:rFonts w:hint="eastAsia" w:ascii="宋体" w:hAnsi="宋体" w:cs="宋体"/>
          <w:sz w:val="15"/>
          <w:szCs w:val="15"/>
        </w:rPr>
        <w:t>财务费用</w:t>
      </w:r>
      <w:r>
        <w:rPr>
          <w:rFonts w:ascii="宋体" w:hAnsi="宋体" w:cs="宋体"/>
          <w:sz w:val="15"/>
          <w:szCs w:val="15"/>
        </w:rPr>
        <w:t>=166000000-132800000-8300000-33220000=21580000</w:t>
      </w:r>
      <w:r>
        <w:rPr>
          <w:rFonts w:hint="eastAsia" w:ascii="宋体" w:hAnsi="宋体" w:cs="宋体"/>
          <w:sz w:val="15"/>
          <w:szCs w:val="15"/>
        </w:rPr>
        <w:t>（元）</w:t>
      </w:r>
    </w:p>
    <w:p>
      <w:pPr>
        <w:numPr>
          <w:ilvl w:val="0"/>
          <w:numId w:val="2"/>
        </w:numPr>
        <w:spacing w:line="160" w:lineRule="exact"/>
        <w:jc w:val="left"/>
        <w:rPr>
          <w:rFonts w:ascii="宋体" w:cs="宋体"/>
          <w:sz w:val="15"/>
          <w:szCs w:val="15"/>
        </w:rPr>
      </w:pPr>
      <w:r>
        <w:rPr>
          <w:rFonts w:hint="eastAsia" w:ascii="宋体" w:hAnsi="宋体" w:cs="宋体"/>
          <w:sz w:val="15"/>
          <w:szCs w:val="15"/>
        </w:rPr>
        <w:t>营业外收入：</w:t>
      </w:r>
      <w:r>
        <w:rPr>
          <w:rFonts w:ascii="宋体" w:hAnsi="宋体" w:cs="宋体"/>
          <w:sz w:val="15"/>
          <w:szCs w:val="15"/>
        </w:rPr>
        <w:t>200000*8.3=160000(</w:t>
      </w:r>
      <w:r>
        <w:rPr>
          <w:rFonts w:hint="eastAsia" w:ascii="宋体" w:hAnsi="宋体" w:cs="宋体"/>
          <w:sz w:val="15"/>
          <w:szCs w:val="15"/>
        </w:rPr>
        <w:t>元）</w:t>
      </w:r>
    </w:p>
    <w:p>
      <w:pPr>
        <w:spacing w:line="160" w:lineRule="exact"/>
        <w:jc w:val="left"/>
        <w:rPr>
          <w:rFonts w:ascii="宋体" w:cs="宋体"/>
          <w:sz w:val="15"/>
          <w:szCs w:val="15"/>
        </w:rPr>
      </w:pPr>
      <w:r>
        <w:rPr>
          <w:rFonts w:ascii="宋体" w:hAnsi="宋体" w:cs="宋体"/>
          <w:sz w:val="15"/>
          <w:szCs w:val="15"/>
        </w:rPr>
        <w:t xml:space="preserve">   </w:t>
      </w:r>
      <w:r>
        <w:rPr>
          <w:rFonts w:hint="eastAsia" w:ascii="宋体" w:hAnsi="宋体" w:cs="宋体"/>
          <w:sz w:val="15"/>
          <w:szCs w:val="15"/>
        </w:rPr>
        <w:t>营业额外支出：</w:t>
      </w:r>
      <w:r>
        <w:rPr>
          <w:rFonts w:ascii="宋体" w:hAnsi="宋体" w:cs="宋体"/>
          <w:sz w:val="15"/>
          <w:szCs w:val="15"/>
        </w:rPr>
        <w:t>100000*8.3=830000</w:t>
      </w:r>
      <w:r>
        <w:rPr>
          <w:rFonts w:hint="eastAsia" w:ascii="宋体" w:hAnsi="宋体" w:cs="宋体"/>
          <w:sz w:val="15"/>
          <w:szCs w:val="15"/>
        </w:rPr>
        <w:t>（元）</w:t>
      </w:r>
    </w:p>
    <w:p>
      <w:pPr>
        <w:numPr>
          <w:ilvl w:val="0"/>
          <w:numId w:val="3"/>
        </w:numPr>
        <w:spacing w:line="160" w:lineRule="exact"/>
        <w:jc w:val="left"/>
        <w:rPr>
          <w:rFonts w:ascii="宋体" w:cs="宋体"/>
          <w:sz w:val="15"/>
          <w:szCs w:val="15"/>
        </w:rPr>
      </w:pPr>
      <w:r>
        <w:rPr>
          <w:rFonts w:hint="eastAsia" w:ascii="宋体" w:hAnsi="宋体" w:cs="宋体"/>
          <w:sz w:val="15"/>
          <w:szCs w:val="15"/>
        </w:rPr>
        <w:t>利润总额</w:t>
      </w:r>
      <w:r>
        <w:rPr>
          <w:rFonts w:ascii="宋体" w:hAnsi="宋体" w:cs="宋体"/>
          <w:sz w:val="15"/>
          <w:szCs w:val="15"/>
        </w:rPr>
        <w:t>=</w:t>
      </w:r>
      <w:r>
        <w:rPr>
          <w:rFonts w:hint="eastAsia" w:ascii="宋体" w:hAnsi="宋体" w:cs="宋体"/>
          <w:sz w:val="15"/>
          <w:szCs w:val="15"/>
        </w:rPr>
        <w:t>营业利润</w:t>
      </w:r>
      <w:r>
        <w:rPr>
          <w:rFonts w:ascii="宋体" w:hAnsi="宋体" w:cs="宋体"/>
          <w:sz w:val="15"/>
          <w:szCs w:val="15"/>
        </w:rPr>
        <w:t>+</w:t>
      </w:r>
      <w:r>
        <w:rPr>
          <w:rFonts w:hint="eastAsia" w:ascii="宋体" w:hAnsi="宋体" w:cs="宋体"/>
          <w:sz w:val="15"/>
          <w:szCs w:val="15"/>
        </w:rPr>
        <w:t>营业外收入</w:t>
      </w:r>
      <w:r>
        <w:rPr>
          <w:rFonts w:ascii="宋体" w:cs="宋体"/>
          <w:sz w:val="15"/>
          <w:szCs w:val="15"/>
        </w:rPr>
        <w:t>-</w:t>
      </w:r>
      <w:r>
        <w:rPr>
          <w:rFonts w:hint="eastAsia" w:ascii="宋体" w:hAnsi="宋体" w:cs="宋体"/>
          <w:sz w:val="15"/>
          <w:szCs w:val="15"/>
        </w:rPr>
        <w:t>营业外支出</w:t>
      </w:r>
      <w:r>
        <w:rPr>
          <w:rFonts w:ascii="宋体" w:hAnsi="宋体" w:cs="宋体"/>
          <w:sz w:val="15"/>
          <w:szCs w:val="15"/>
        </w:rPr>
        <w:t>=2158000+1660000-830000=22410000</w:t>
      </w:r>
      <w:r>
        <w:rPr>
          <w:rFonts w:hint="eastAsia" w:ascii="宋体" w:hAnsi="宋体" w:cs="宋体"/>
          <w:sz w:val="15"/>
          <w:szCs w:val="15"/>
        </w:rPr>
        <w:t>（元）</w:t>
      </w:r>
    </w:p>
    <w:p>
      <w:pPr>
        <w:numPr>
          <w:ilvl w:val="0"/>
          <w:numId w:val="3"/>
        </w:numPr>
        <w:spacing w:line="160" w:lineRule="exact"/>
        <w:jc w:val="left"/>
        <w:rPr>
          <w:rFonts w:ascii="宋体" w:cs="宋体"/>
          <w:sz w:val="15"/>
          <w:szCs w:val="15"/>
        </w:rPr>
      </w:pPr>
      <w:r>
        <w:rPr>
          <w:rFonts w:hint="eastAsia" w:ascii="宋体" w:hAnsi="宋体" w:cs="宋体"/>
          <w:sz w:val="15"/>
          <w:szCs w:val="15"/>
        </w:rPr>
        <w:t>所得税费用：</w:t>
      </w:r>
      <w:r>
        <w:rPr>
          <w:rFonts w:ascii="宋体" w:hAnsi="宋体" w:cs="宋体"/>
          <w:sz w:val="15"/>
          <w:szCs w:val="15"/>
        </w:rPr>
        <w:t>900000*8.3=7470000</w:t>
      </w:r>
      <w:r>
        <w:rPr>
          <w:rFonts w:hint="eastAsia" w:ascii="宋体" w:hAnsi="宋体" w:cs="宋体"/>
          <w:sz w:val="15"/>
          <w:szCs w:val="15"/>
        </w:rPr>
        <w:t>（元）</w:t>
      </w:r>
    </w:p>
    <w:p>
      <w:pPr>
        <w:numPr>
          <w:ilvl w:val="0"/>
          <w:numId w:val="3"/>
        </w:numPr>
        <w:spacing w:line="160" w:lineRule="exact"/>
        <w:jc w:val="left"/>
        <w:rPr>
          <w:rFonts w:ascii="宋体" w:cs="宋体"/>
          <w:sz w:val="15"/>
          <w:szCs w:val="15"/>
        </w:rPr>
      </w:pPr>
      <w:r>
        <w:rPr>
          <w:rFonts w:hint="eastAsia" w:ascii="宋体" w:hAnsi="宋体" w:cs="宋体"/>
          <w:sz w:val="15"/>
          <w:szCs w:val="15"/>
        </w:rPr>
        <w:t>净利润</w:t>
      </w:r>
      <w:r>
        <w:rPr>
          <w:rFonts w:ascii="宋体" w:hAnsi="宋体" w:cs="宋体"/>
          <w:sz w:val="15"/>
          <w:szCs w:val="15"/>
        </w:rPr>
        <w:t>=</w:t>
      </w:r>
      <w:r>
        <w:rPr>
          <w:rFonts w:hint="eastAsia" w:ascii="宋体" w:hAnsi="宋体" w:cs="宋体"/>
          <w:sz w:val="15"/>
          <w:szCs w:val="15"/>
        </w:rPr>
        <w:t>利润总额</w:t>
      </w:r>
      <w:r>
        <w:rPr>
          <w:rFonts w:ascii="宋体" w:cs="宋体"/>
          <w:sz w:val="15"/>
          <w:szCs w:val="15"/>
        </w:rPr>
        <w:t>-</w:t>
      </w:r>
      <w:r>
        <w:rPr>
          <w:rFonts w:hint="eastAsia" w:ascii="宋体" w:hAnsi="宋体" w:cs="宋体"/>
          <w:sz w:val="15"/>
          <w:szCs w:val="15"/>
        </w:rPr>
        <w:t>所得税费用</w:t>
      </w:r>
      <w:r>
        <w:rPr>
          <w:rFonts w:ascii="宋体" w:hAnsi="宋体" w:cs="宋体"/>
          <w:sz w:val="15"/>
          <w:szCs w:val="15"/>
        </w:rPr>
        <w:t>=22410000-7470000=14940000</w:t>
      </w:r>
      <w:r>
        <w:rPr>
          <w:rFonts w:hint="eastAsia" w:ascii="宋体" w:hAnsi="宋体" w:cs="宋体"/>
          <w:sz w:val="15"/>
          <w:szCs w:val="15"/>
        </w:rPr>
        <w:t>（元）</w:t>
      </w:r>
    </w:p>
    <w:p>
      <w:pPr>
        <w:spacing w:line="160" w:lineRule="exact"/>
        <w:jc w:val="left"/>
        <w:rPr>
          <w:rFonts w:ascii="宋体" w:cs="宋体"/>
          <w:sz w:val="15"/>
          <w:szCs w:val="15"/>
        </w:rPr>
      </w:pPr>
      <w:r>
        <w:rPr>
          <w:rFonts w:hint="eastAsia" w:ascii="宋体" w:hAnsi="宋体" w:cs="宋体"/>
          <w:sz w:val="15"/>
          <w:szCs w:val="15"/>
        </w:rPr>
        <w:t>根据以上折算结果编制以人民币表述的利润表见表</w:t>
      </w:r>
      <w:r>
        <w:rPr>
          <w:rFonts w:ascii="宋体" w:hAnsi="宋体" w:cs="宋体"/>
          <w:sz w:val="15"/>
          <w:szCs w:val="15"/>
        </w:rPr>
        <w:t>1-9.</w:t>
      </w:r>
      <w:r>
        <w:rPr>
          <w:rFonts w:hint="eastAsia" w:ascii="宋体" w:hAnsi="宋体" w:cs="宋体"/>
          <w:sz w:val="15"/>
          <w:szCs w:val="15"/>
        </w:rPr>
        <w:t>外币资产负债表折算如下：</w:t>
      </w:r>
    </w:p>
    <w:p>
      <w:pPr>
        <w:numPr>
          <w:ilvl w:val="0"/>
          <w:numId w:val="4"/>
        </w:numPr>
        <w:spacing w:line="160" w:lineRule="exact"/>
        <w:jc w:val="left"/>
        <w:rPr>
          <w:rFonts w:ascii="宋体" w:cs="宋体"/>
          <w:sz w:val="15"/>
          <w:szCs w:val="15"/>
        </w:rPr>
      </w:pPr>
      <w:r>
        <w:rPr>
          <w:rFonts w:hint="eastAsia" w:ascii="宋体" w:hAnsi="宋体" w:cs="宋体"/>
          <w:sz w:val="15"/>
          <w:szCs w:val="15"/>
        </w:rPr>
        <w:t>资产与负债项目按折算日即期汇率</w:t>
      </w:r>
      <w:r>
        <w:rPr>
          <w:rFonts w:ascii="宋体" w:hAnsi="宋体" w:cs="宋体"/>
          <w:sz w:val="15"/>
          <w:szCs w:val="15"/>
        </w:rPr>
        <w:t>USD1=RMB8.6</w:t>
      </w:r>
      <w:r>
        <w:rPr>
          <w:rFonts w:hint="eastAsia" w:ascii="宋体" w:hAnsi="宋体" w:cs="宋体"/>
          <w:sz w:val="15"/>
          <w:szCs w:val="15"/>
        </w:rPr>
        <w:t>（元），折合为相应的人民币数额。</w:t>
      </w:r>
    </w:p>
    <w:p>
      <w:pPr>
        <w:spacing w:line="160" w:lineRule="exact"/>
        <w:jc w:val="left"/>
        <w:rPr>
          <w:rFonts w:ascii="宋体" w:cs="宋体"/>
          <w:sz w:val="15"/>
          <w:szCs w:val="15"/>
        </w:rPr>
      </w:pPr>
      <w:r>
        <w:rPr>
          <w:rFonts w:hint="eastAsia" w:ascii="宋体" w:hAnsi="宋体" w:cs="宋体"/>
          <w:sz w:val="15"/>
          <w:szCs w:val="15"/>
        </w:rPr>
        <w:t>流动资产：</w:t>
      </w:r>
      <w:r>
        <w:rPr>
          <w:rFonts w:ascii="宋体" w:hAnsi="宋体" w:cs="宋体"/>
          <w:sz w:val="15"/>
          <w:szCs w:val="15"/>
        </w:rPr>
        <w:t>3000000*8.6=25800000</w:t>
      </w:r>
      <w:r>
        <w:rPr>
          <w:rFonts w:hint="eastAsia" w:ascii="宋体" w:hAnsi="宋体" w:cs="宋体"/>
          <w:sz w:val="15"/>
          <w:szCs w:val="15"/>
        </w:rPr>
        <w:t>（元）</w:t>
      </w:r>
    </w:p>
    <w:p>
      <w:pPr>
        <w:spacing w:line="160" w:lineRule="exact"/>
        <w:jc w:val="left"/>
        <w:rPr>
          <w:rFonts w:ascii="宋体" w:cs="宋体"/>
          <w:sz w:val="15"/>
          <w:szCs w:val="15"/>
        </w:rPr>
      </w:pPr>
      <w:r>
        <w:rPr>
          <w:rFonts w:hint="eastAsia" w:ascii="宋体" w:hAnsi="宋体" w:cs="宋体"/>
          <w:sz w:val="15"/>
          <w:szCs w:val="15"/>
        </w:rPr>
        <w:t>长期股权投资：</w:t>
      </w:r>
      <w:r>
        <w:rPr>
          <w:rFonts w:ascii="宋体" w:hAnsi="宋体" w:cs="宋体"/>
          <w:sz w:val="15"/>
          <w:szCs w:val="15"/>
        </w:rPr>
        <w:t>1200000*8.6=10320000</w:t>
      </w:r>
      <w:r>
        <w:rPr>
          <w:rFonts w:hint="eastAsia" w:ascii="宋体" w:hAnsi="宋体" w:cs="宋体"/>
          <w:sz w:val="15"/>
          <w:szCs w:val="15"/>
        </w:rPr>
        <w:t>（元）</w:t>
      </w:r>
    </w:p>
    <w:p>
      <w:pPr>
        <w:spacing w:line="160" w:lineRule="exact"/>
        <w:jc w:val="left"/>
        <w:rPr>
          <w:rFonts w:ascii="宋体" w:cs="宋体"/>
          <w:sz w:val="15"/>
          <w:szCs w:val="15"/>
        </w:rPr>
      </w:pPr>
      <w:r>
        <w:rPr>
          <w:rFonts w:hint="eastAsia" w:ascii="宋体" w:hAnsi="宋体" w:cs="宋体"/>
          <w:sz w:val="15"/>
          <w:szCs w:val="15"/>
        </w:rPr>
        <w:t>无形资产及递延资产：</w:t>
      </w:r>
      <w:r>
        <w:rPr>
          <w:rFonts w:ascii="宋体" w:hAnsi="宋体" w:cs="宋体"/>
          <w:sz w:val="15"/>
          <w:szCs w:val="15"/>
        </w:rPr>
        <w:t>200000*8.6=1720000</w:t>
      </w:r>
      <w:r>
        <w:rPr>
          <w:rFonts w:hint="eastAsia" w:ascii="宋体" w:hAnsi="宋体" w:cs="宋体"/>
          <w:sz w:val="15"/>
          <w:szCs w:val="15"/>
        </w:rPr>
        <w:t>（元）</w:t>
      </w:r>
    </w:p>
    <w:p>
      <w:pPr>
        <w:spacing w:line="160" w:lineRule="exact"/>
        <w:jc w:val="left"/>
        <w:rPr>
          <w:rFonts w:ascii="宋体" w:cs="宋体"/>
          <w:sz w:val="15"/>
          <w:szCs w:val="15"/>
        </w:rPr>
      </w:pPr>
      <w:r>
        <w:rPr>
          <w:rFonts w:hint="eastAsia" w:ascii="宋体" w:hAnsi="宋体" w:cs="宋体"/>
          <w:sz w:val="15"/>
          <w:szCs w:val="15"/>
        </w:rPr>
        <w:t>其他资产：</w:t>
      </w:r>
      <w:r>
        <w:rPr>
          <w:rFonts w:ascii="宋体" w:hAnsi="宋体" w:cs="宋体"/>
          <w:sz w:val="15"/>
          <w:szCs w:val="15"/>
        </w:rPr>
        <w:t>100000*8.6=8600000</w:t>
      </w:r>
      <w:r>
        <w:rPr>
          <w:rFonts w:hint="eastAsia" w:ascii="宋体" w:hAnsi="宋体" w:cs="宋体"/>
          <w:sz w:val="15"/>
          <w:szCs w:val="15"/>
        </w:rPr>
        <w:t>（元）</w:t>
      </w:r>
    </w:p>
    <w:p>
      <w:pPr>
        <w:spacing w:line="160" w:lineRule="exact"/>
        <w:jc w:val="left"/>
        <w:rPr>
          <w:rFonts w:ascii="宋体" w:cs="宋体"/>
          <w:sz w:val="15"/>
          <w:szCs w:val="15"/>
        </w:rPr>
      </w:pPr>
      <w:r>
        <w:rPr>
          <w:rFonts w:hint="eastAsia" w:ascii="宋体" w:hAnsi="宋体" w:cs="宋体"/>
          <w:sz w:val="15"/>
          <w:szCs w:val="15"/>
        </w:rPr>
        <w:t>资产合计：</w:t>
      </w:r>
      <w:r>
        <w:rPr>
          <w:rFonts w:ascii="宋体" w:hAnsi="宋体" w:cs="宋体"/>
          <w:sz w:val="15"/>
          <w:szCs w:val="15"/>
        </w:rPr>
        <w:t>25800000+10320000+12900000+1720000+860000=51600000(</w:t>
      </w:r>
      <w:r>
        <w:rPr>
          <w:rFonts w:hint="eastAsia" w:ascii="宋体" w:hAnsi="宋体" w:cs="宋体"/>
          <w:sz w:val="15"/>
          <w:szCs w:val="15"/>
        </w:rPr>
        <w:t>元）</w:t>
      </w:r>
    </w:p>
    <w:p>
      <w:pPr>
        <w:spacing w:line="160" w:lineRule="exact"/>
        <w:jc w:val="left"/>
        <w:rPr>
          <w:rFonts w:ascii="宋体" w:cs="宋体"/>
          <w:sz w:val="15"/>
          <w:szCs w:val="15"/>
        </w:rPr>
      </w:pPr>
      <w:r>
        <w:rPr>
          <w:rFonts w:hint="eastAsia" w:ascii="宋体" w:hAnsi="宋体" w:cs="宋体"/>
          <w:sz w:val="15"/>
          <w:szCs w:val="15"/>
        </w:rPr>
        <w:t>流动负债：</w:t>
      </w:r>
      <w:r>
        <w:rPr>
          <w:rFonts w:ascii="宋体" w:hAnsi="宋体" w:cs="宋体"/>
          <w:sz w:val="15"/>
          <w:szCs w:val="15"/>
        </w:rPr>
        <w:t>2800000*8.6=24080000</w:t>
      </w:r>
      <w:r>
        <w:rPr>
          <w:rFonts w:hint="eastAsia" w:ascii="宋体" w:hAnsi="宋体" w:cs="宋体"/>
          <w:sz w:val="15"/>
          <w:szCs w:val="15"/>
        </w:rPr>
        <w:t>（元）</w:t>
      </w:r>
    </w:p>
    <w:p>
      <w:pPr>
        <w:spacing w:line="160" w:lineRule="exact"/>
        <w:jc w:val="left"/>
        <w:rPr>
          <w:rFonts w:ascii="宋体" w:cs="宋体"/>
          <w:sz w:val="15"/>
          <w:szCs w:val="15"/>
        </w:rPr>
      </w:pPr>
      <w:r>
        <w:rPr>
          <w:rFonts w:hint="eastAsia" w:ascii="宋体" w:hAnsi="宋体" w:cs="宋体"/>
          <w:sz w:val="15"/>
          <w:szCs w:val="15"/>
        </w:rPr>
        <w:t>长期负债：</w:t>
      </w:r>
      <w:r>
        <w:rPr>
          <w:rFonts w:ascii="宋体" w:hAnsi="宋体" w:cs="宋体"/>
          <w:sz w:val="15"/>
          <w:szCs w:val="15"/>
        </w:rPr>
        <w:t>200000*8.6=1720000</w:t>
      </w:r>
      <w:r>
        <w:rPr>
          <w:rFonts w:hint="eastAsia" w:ascii="宋体" w:hAnsi="宋体" w:cs="宋体"/>
          <w:sz w:val="15"/>
          <w:szCs w:val="15"/>
        </w:rPr>
        <w:t>（元）</w:t>
      </w:r>
    </w:p>
    <w:p>
      <w:pPr>
        <w:spacing w:line="160" w:lineRule="exact"/>
        <w:jc w:val="left"/>
        <w:rPr>
          <w:rFonts w:ascii="宋体" w:cs="宋体"/>
          <w:sz w:val="15"/>
          <w:szCs w:val="15"/>
        </w:rPr>
      </w:pPr>
      <w:r>
        <w:rPr>
          <w:rFonts w:hint="eastAsia" w:ascii="宋体" w:hAnsi="宋体" w:cs="宋体"/>
          <w:sz w:val="15"/>
          <w:szCs w:val="15"/>
        </w:rPr>
        <w:t>负债合计：</w:t>
      </w:r>
      <w:r>
        <w:rPr>
          <w:rFonts w:ascii="宋体" w:hAnsi="宋体" w:cs="宋体"/>
          <w:sz w:val="15"/>
          <w:szCs w:val="15"/>
        </w:rPr>
        <w:t>24080000+1720000=25800000</w:t>
      </w:r>
      <w:r>
        <w:rPr>
          <w:rFonts w:hint="eastAsia" w:ascii="宋体" w:hAnsi="宋体" w:cs="宋体"/>
          <w:sz w:val="15"/>
          <w:szCs w:val="15"/>
        </w:rPr>
        <w:t>（元）</w:t>
      </w:r>
    </w:p>
    <w:p>
      <w:pPr>
        <w:numPr>
          <w:ilvl w:val="0"/>
          <w:numId w:val="5"/>
        </w:numPr>
        <w:spacing w:line="160" w:lineRule="exact"/>
        <w:jc w:val="left"/>
        <w:rPr>
          <w:rFonts w:ascii="宋体" w:cs="宋体"/>
          <w:sz w:val="15"/>
          <w:szCs w:val="15"/>
        </w:rPr>
      </w:pPr>
      <w:r>
        <w:rPr>
          <w:rFonts w:hint="eastAsia" w:ascii="宋体" w:hAnsi="宋体" w:cs="宋体"/>
          <w:sz w:val="15"/>
          <w:szCs w:val="15"/>
        </w:rPr>
        <w:t>所有者权益的实收资本项目按实际发生美元数乘以历史汇率</w:t>
      </w:r>
      <w:r>
        <w:rPr>
          <w:rFonts w:ascii="宋体" w:hAnsi="宋体" w:cs="宋体"/>
          <w:sz w:val="15"/>
          <w:szCs w:val="15"/>
        </w:rPr>
        <w:t>USD1=RMB8.00</w:t>
      </w:r>
      <w:r>
        <w:rPr>
          <w:rFonts w:hint="eastAsia" w:ascii="宋体" w:hAnsi="宋体" w:cs="宋体"/>
          <w:sz w:val="15"/>
          <w:szCs w:val="15"/>
        </w:rPr>
        <w:t>折合成相应人民币。实收资本：</w:t>
      </w:r>
      <w:r>
        <w:rPr>
          <w:rFonts w:ascii="宋体" w:hAnsi="宋体" w:cs="宋体"/>
          <w:sz w:val="15"/>
          <w:szCs w:val="15"/>
        </w:rPr>
        <w:t>2000000*8.0=16000000</w:t>
      </w:r>
      <w:r>
        <w:rPr>
          <w:rFonts w:hint="eastAsia" w:ascii="宋体" w:hAnsi="宋体" w:cs="宋体"/>
          <w:sz w:val="15"/>
          <w:szCs w:val="15"/>
        </w:rPr>
        <w:t>（元</w:t>
      </w:r>
      <w:r>
        <w:rPr>
          <w:rFonts w:ascii="宋体" w:hAnsi="宋体" w:cs="宋体"/>
          <w:sz w:val="15"/>
          <w:szCs w:val="15"/>
        </w:rPr>
        <w:t>)</w:t>
      </w:r>
    </w:p>
    <w:p>
      <w:pPr>
        <w:numPr>
          <w:ilvl w:val="0"/>
          <w:numId w:val="5"/>
        </w:numPr>
        <w:spacing w:line="160" w:lineRule="exact"/>
        <w:jc w:val="left"/>
        <w:rPr>
          <w:rFonts w:ascii="宋体" w:cs="宋体"/>
          <w:sz w:val="15"/>
          <w:szCs w:val="15"/>
        </w:rPr>
      </w:pPr>
      <w:r>
        <w:rPr>
          <w:rFonts w:hint="eastAsia" w:ascii="宋体" w:hAnsi="宋体" w:cs="宋体"/>
          <w:sz w:val="15"/>
          <w:szCs w:val="15"/>
        </w:rPr>
        <w:t>未分配利润数额根据利润表及其分配表该项目数额直接填列。未分配利润</w:t>
      </w:r>
      <w:r>
        <w:rPr>
          <w:rFonts w:ascii="宋体" w:hAnsi="宋体" w:cs="宋体"/>
          <w:sz w:val="15"/>
          <w:szCs w:val="15"/>
        </w:rPr>
        <w:t>=8300000</w:t>
      </w:r>
      <w:r>
        <w:rPr>
          <w:rFonts w:hint="eastAsia" w:ascii="宋体" w:hAnsi="宋体" w:cs="宋体"/>
          <w:sz w:val="15"/>
          <w:szCs w:val="15"/>
        </w:rPr>
        <w:t>元</w:t>
      </w:r>
    </w:p>
    <w:p>
      <w:pPr>
        <w:spacing w:line="160" w:lineRule="exact"/>
        <w:jc w:val="left"/>
        <w:rPr>
          <w:rFonts w:ascii="宋体" w:cs="宋体"/>
          <w:sz w:val="15"/>
          <w:szCs w:val="15"/>
        </w:rPr>
      </w:pPr>
      <w:r>
        <w:rPr>
          <w:rFonts w:hint="eastAsia" w:ascii="宋体" w:hAnsi="宋体" w:cs="宋体"/>
          <w:sz w:val="15"/>
          <w:szCs w:val="15"/>
        </w:rPr>
        <w:t>所有者权益合计</w:t>
      </w:r>
      <w:r>
        <w:rPr>
          <w:rFonts w:ascii="宋体" w:hAnsi="宋体" w:cs="宋体"/>
          <w:sz w:val="15"/>
          <w:szCs w:val="15"/>
        </w:rPr>
        <w:t>=16000000+8300000=24300000</w:t>
      </w:r>
      <w:r>
        <w:rPr>
          <w:rFonts w:hint="eastAsia" w:ascii="宋体" w:hAnsi="宋体" w:cs="宋体"/>
          <w:sz w:val="15"/>
          <w:szCs w:val="15"/>
        </w:rPr>
        <w:t>（元）</w:t>
      </w:r>
    </w:p>
    <w:p>
      <w:pPr>
        <w:numPr>
          <w:ilvl w:val="0"/>
          <w:numId w:val="6"/>
        </w:numPr>
        <w:spacing w:line="160" w:lineRule="exact"/>
        <w:jc w:val="left"/>
        <w:rPr>
          <w:rFonts w:ascii="宋体" w:cs="宋体"/>
          <w:sz w:val="15"/>
          <w:szCs w:val="15"/>
        </w:rPr>
      </w:pPr>
      <w:r>
        <w:rPr>
          <w:rFonts w:hint="eastAsia" w:ascii="宋体" w:hAnsi="宋体" w:cs="宋体"/>
          <w:sz w:val="15"/>
          <w:szCs w:val="15"/>
        </w:rPr>
        <w:t>外币报表折算差额即资产与权益合计数的差额。折算差额：</w:t>
      </w:r>
      <w:r>
        <w:rPr>
          <w:rFonts w:ascii="宋体" w:hAnsi="宋体" w:cs="宋体"/>
          <w:sz w:val="15"/>
          <w:szCs w:val="15"/>
        </w:rPr>
        <w:t>516000000-25800000-24300000=1500000</w:t>
      </w:r>
      <w:r>
        <w:rPr>
          <w:rFonts w:hint="eastAsia" w:ascii="宋体" w:hAnsi="宋体" w:cs="宋体"/>
          <w:sz w:val="15"/>
          <w:szCs w:val="15"/>
        </w:rPr>
        <w:t>元。折算差额形成的人民币资产负债表见表</w:t>
      </w:r>
      <w:r>
        <w:rPr>
          <w:rFonts w:ascii="宋体" w:hAnsi="宋体" w:cs="宋体"/>
          <w:sz w:val="15"/>
          <w:szCs w:val="15"/>
        </w:rPr>
        <w:t>1-11.</w:t>
      </w:r>
    </w:p>
    <w:tbl>
      <w:tblPr>
        <w:tblStyle w:val="5"/>
        <w:tblW w:w="3780" w:type="dxa"/>
        <w:jc w:val="center"/>
        <w:tblInd w:w="-5" w:type="dxa"/>
        <w:tblLayout w:type="fixed"/>
        <w:tblCellMar>
          <w:top w:w="0" w:type="dxa"/>
          <w:left w:w="15" w:type="dxa"/>
          <w:bottom w:w="0" w:type="dxa"/>
          <w:right w:w="15" w:type="dxa"/>
        </w:tblCellMar>
      </w:tblPr>
      <w:tblGrid>
        <w:gridCol w:w="1045"/>
        <w:gridCol w:w="854"/>
        <w:gridCol w:w="991"/>
        <w:gridCol w:w="890"/>
      </w:tblGrid>
      <w:tr>
        <w:tblPrEx>
          <w:tblLayout w:type="fixed"/>
          <w:tblCellMar>
            <w:top w:w="0" w:type="dxa"/>
            <w:left w:w="15" w:type="dxa"/>
            <w:bottom w:w="0" w:type="dxa"/>
            <w:right w:w="15" w:type="dxa"/>
          </w:tblCellMar>
        </w:tblPrEx>
        <w:trPr>
          <w:trHeight w:val="219" w:hRule="atLeast"/>
          <w:jc w:val="center"/>
        </w:trPr>
        <w:tc>
          <w:tcPr>
            <w:tcW w:w="3780" w:type="dxa"/>
            <w:gridSpan w:val="4"/>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color w:val="000000"/>
                <w:sz w:val="11"/>
                <w:szCs w:val="11"/>
              </w:rPr>
            </w:pPr>
            <w:r>
              <w:rPr>
                <w:rFonts w:hint="eastAsia" w:ascii="宋体" w:hAnsi="宋体"/>
                <w:color w:val="000000"/>
                <w:sz w:val="11"/>
                <w:szCs w:val="11"/>
              </w:rPr>
              <w:t>资产负债表（人民币）</w:t>
            </w:r>
          </w:p>
        </w:tc>
      </w:tr>
      <w:tr>
        <w:tblPrEx>
          <w:tblLayout w:type="fixed"/>
          <w:tblCellMar>
            <w:top w:w="0" w:type="dxa"/>
            <w:left w:w="15" w:type="dxa"/>
            <w:bottom w:w="0" w:type="dxa"/>
            <w:right w:w="15" w:type="dxa"/>
          </w:tblCellMar>
        </w:tblPrEx>
        <w:trPr>
          <w:trHeight w:val="219" w:hRule="atLeast"/>
          <w:jc w:val="center"/>
        </w:trPr>
        <w:tc>
          <w:tcPr>
            <w:tcW w:w="104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color w:val="000000"/>
                <w:sz w:val="11"/>
                <w:szCs w:val="11"/>
              </w:rPr>
            </w:pPr>
            <w:r>
              <w:rPr>
                <w:rFonts w:hint="eastAsia" w:ascii="宋体" w:hAnsi="宋体"/>
                <w:color w:val="000000"/>
                <w:sz w:val="11"/>
                <w:szCs w:val="11"/>
              </w:rPr>
              <w:t>资产</w:t>
            </w:r>
          </w:p>
        </w:tc>
        <w:tc>
          <w:tcPr>
            <w:tcW w:w="854"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color w:val="000000"/>
                <w:sz w:val="11"/>
                <w:szCs w:val="11"/>
              </w:rPr>
            </w:pPr>
            <w:r>
              <w:rPr>
                <w:rFonts w:hint="eastAsia" w:ascii="宋体" w:hAnsi="宋体"/>
                <w:color w:val="000000"/>
                <w:sz w:val="11"/>
                <w:szCs w:val="11"/>
              </w:rPr>
              <w:t>金额</w:t>
            </w:r>
          </w:p>
        </w:tc>
        <w:tc>
          <w:tcPr>
            <w:tcW w:w="991"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color w:val="000000"/>
                <w:sz w:val="11"/>
                <w:szCs w:val="11"/>
              </w:rPr>
            </w:pPr>
            <w:r>
              <w:rPr>
                <w:rFonts w:hint="eastAsia" w:ascii="宋体" w:hAnsi="宋体"/>
                <w:color w:val="000000"/>
                <w:sz w:val="11"/>
                <w:szCs w:val="11"/>
              </w:rPr>
              <w:t>负债与所有者权益</w:t>
            </w:r>
          </w:p>
        </w:tc>
        <w:tc>
          <w:tcPr>
            <w:tcW w:w="890"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color w:val="000000"/>
                <w:sz w:val="11"/>
                <w:szCs w:val="11"/>
              </w:rPr>
            </w:pPr>
            <w:r>
              <w:rPr>
                <w:rFonts w:hint="eastAsia" w:ascii="宋体" w:hAnsi="宋体"/>
                <w:color w:val="000000"/>
                <w:sz w:val="11"/>
                <w:szCs w:val="11"/>
              </w:rPr>
              <w:t>金额</w:t>
            </w:r>
          </w:p>
        </w:tc>
      </w:tr>
      <w:tr>
        <w:tblPrEx>
          <w:tblLayout w:type="fixed"/>
          <w:tblCellMar>
            <w:top w:w="0" w:type="dxa"/>
            <w:left w:w="15" w:type="dxa"/>
            <w:bottom w:w="0" w:type="dxa"/>
            <w:right w:w="15" w:type="dxa"/>
          </w:tblCellMar>
        </w:tblPrEx>
        <w:trPr>
          <w:trHeight w:val="219" w:hRule="atLeast"/>
          <w:jc w:val="center"/>
        </w:trPr>
        <w:tc>
          <w:tcPr>
            <w:tcW w:w="104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color w:val="000000"/>
                <w:sz w:val="11"/>
                <w:szCs w:val="11"/>
              </w:rPr>
            </w:pPr>
            <w:r>
              <w:rPr>
                <w:rFonts w:hint="eastAsia" w:ascii="宋体" w:hAnsi="宋体"/>
                <w:color w:val="000000"/>
                <w:sz w:val="11"/>
                <w:szCs w:val="11"/>
              </w:rPr>
              <w:t>流动资产</w:t>
            </w:r>
          </w:p>
        </w:tc>
        <w:tc>
          <w:tcPr>
            <w:tcW w:w="854"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color w:val="000000"/>
                <w:sz w:val="11"/>
                <w:szCs w:val="11"/>
              </w:rPr>
            </w:pPr>
            <w:r>
              <w:rPr>
                <w:rFonts w:ascii="宋体" w:hAnsi="宋体"/>
                <w:color w:val="000000"/>
                <w:sz w:val="11"/>
                <w:szCs w:val="11"/>
              </w:rPr>
              <w:t xml:space="preserve">25,800,000.00 </w:t>
            </w:r>
          </w:p>
        </w:tc>
        <w:tc>
          <w:tcPr>
            <w:tcW w:w="991"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color w:val="000000"/>
                <w:sz w:val="11"/>
                <w:szCs w:val="11"/>
              </w:rPr>
            </w:pPr>
            <w:r>
              <w:rPr>
                <w:rFonts w:hint="eastAsia" w:ascii="宋体" w:hAnsi="宋体"/>
                <w:color w:val="000000"/>
                <w:sz w:val="11"/>
                <w:szCs w:val="11"/>
              </w:rPr>
              <w:t>负债与所有者权益</w:t>
            </w:r>
          </w:p>
        </w:tc>
        <w:tc>
          <w:tcPr>
            <w:tcW w:w="890"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color w:val="000000"/>
                <w:sz w:val="11"/>
                <w:szCs w:val="11"/>
              </w:rPr>
            </w:pPr>
            <w:r>
              <w:rPr>
                <w:rFonts w:ascii="宋体" w:hAnsi="宋体"/>
                <w:color w:val="000000"/>
                <w:sz w:val="11"/>
                <w:szCs w:val="11"/>
              </w:rPr>
              <w:t xml:space="preserve">24,080,000.00 </w:t>
            </w:r>
          </w:p>
        </w:tc>
      </w:tr>
      <w:tr>
        <w:tblPrEx>
          <w:tblLayout w:type="fixed"/>
          <w:tblCellMar>
            <w:top w:w="0" w:type="dxa"/>
            <w:left w:w="15" w:type="dxa"/>
            <w:bottom w:w="0" w:type="dxa"/>
            <w:right w:w="15" w:type="dxa"/>
          </w:tblCellMar>
        </w:tblPrEx>
        <w:trPr>
          <w:trHeight w:val="219" w:hRule="atLeast"/>
          <w:jc w:val="center"/>
        </w:trPr>
        <w:tc>
          <w:tcPr>
            <w:tcW w:w="104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color w:val="000000"/>
                <w:sz w:val="11"/>
                <w:szCs w:val="11"/>
              </w:rPr>
            </w:pPr>
            <w:r>
              <w:rPr>
                <w:rFonts w:hint="eastAsia" w:ascii="宋体" w:hAnsi="宋体"/>
                <w:color w:val="000000"/>
                <w:sz w:val="11"/>
                <w:szCs w:val="11"/>
              </w:rPr>
              <w:t>长期股权投资</w:t>
            </w:r>
          </w:p>
        </w:tc>
        <w:tc>
          <w:tcPr>
            <w:tcW w:w="854"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color w:val="000000"/>
                <w:sz w:val="11"/>
                <w:szCs w:val="11"/>
              </w:rPr>
            </w:pPr>
            <w:r>
              <w:rPr>
                <w:rFonts w:ascii="宋体" w:hAnsi="宋体"/>
                <w:color w:val="000000"/>
                <w:sz w:val="11"/>
                <w:szCs w:val="11"/>
              </w:rPr>
              <w:t xml:space="preserve">10,320,000.00 </w:t>
            </w:r>
          </w:p>
        </w:tc>
        <w:tc>
          <w:tcPr>
            <w:tcW w:w="991"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color w:val="000000"/>
                <w:sz w:val="11"/>
                <w:szCs w:val="11"/>
              </w:rPr>
            </w:pPr>
            <w:r>
              <w:rPr>
                <w:rFonts w:hint="eastAsia" w:ascii="宋体" w:hAnsi="宋体"/>
                <w:color w:val="000000"/>
                <w:sz w:val="11"/>
                <w:szCs w:val="11"/>
              </w:rPr>
              <w:t>长期负债</w:t>
            </w:r>
          </w:p>
        </w:tc>
        <w:tc>
          <w:tcPr>
            <w:tcW w:w="890"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color w:val="000000"/>
                <w:sz w:val="11"/>
                <w:szCs w:val="11"/>
              </w:rPr>
            </w:pPr>
            <w:r>
              <w:rPr>
                <w:rFonts w:ascii="宋体" w:hAnsi="宋体"/>
                <w:color w:val="000000"/>
                <w:sz w:val="11"/>
                <w:szCs w:val="11"/>
              </w:rPr>
              <w:t xml:space="preserve">1,720,000.00 </w:t>
            </w:r>
          </w:p>
        </w:tc>
      </w:tr>
      <w:tr>
        <w:tblPrEx>
          <w:tblLayout w:type="fixed"/>
          <w:tblCellMar>
            <w:top w:w="0" w:type="dxa"/>
            <w:left w:w="15" w:type="dxa"/>
            <w:bottom w:w="0" w:type="dxa"/>
            <w:right w:w="15" w:type="dxa"/>
          </w:tblCellMar>
        </w:tblPrEx>
        <w:trPr>
          <w:trHeight w:val="219" w:hRule="atLeast"/>
          <w:jc w:val="center"/>
        </w:trPr>
        <w:tc>
          <w:tcPr>
            <w:tcW w:w="104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color w:val="000000"/>
                <w:sz w:val="11"/>
                <w:szCs w:val="11"/>
              </w:rPr>
            </w:pPr>
            <w:r>
              <w:rPr>
                <w:rFonts w:hint="eastAsia" w:ascii="宋体" w:hAnsi="宋体"/>
                <w:color w:val="000000"/>
                <w:sz w:val="11"/>
                <w:szCs w:val="11"/>
              </w:rPr>
              <w:t>固定资产</w:t>
            </w:r>
          </w:p>
        </w:tc>
        <w:tc>
          <w:tcPr>
            <w:tcW w:w="854"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color w:val="000000"/>
                <w:sz w:val="11"/>
                <w:szCs w:val="11"/>
              </w:rPr>
            </w:pPr>
            <w:r>
              <w:rPr>
                <w:rFonts w:ascii="宋体" w:hAnsi="宋体"/>
                <w:color w:val="000000"/>
                <w:sz w:val="11"/>
                <w:szCs w:val="11"/>
              </w:rPr>
              <w:t xml:space="preserve">12,900,000.00 </w:t>
            </w:r>
          </w:p>
        </w:tc>
        <w:tc>
          <w:tcPr>
            <w:tcW w:w="991"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color w:val="000000"/>
                <w:sz w:val="11"/>
                <w:szCs w:val="11"/>
              </w:rPr>
            </w:pPr>
            <w:r>
              <w:rPr>
                <w:rFonts w:hint="eastAsia" w:ascii="宋体" w:hAnsi="宋体"/>
                <w:color w:val="000000"/>
                <w:sz w:val="11"/>
                <w:szCs w:val="11"/>
              </w:rPr>
              <w:t>所有者权益</w:t>
            </w:r>
          </w:p>
        </w:tc>
        <w:tc>
          <w:tcPr>
            <w:tcW w:w="890"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color w:val="000000"/>
                <w:sz w:val="11"/>
                <w:szCs w:val="11"/>
              </w:rPr>
            </w:pPr>
          </w:p>
        </w:tc>
      </w:tr>
      <w:tr>
        <w:tblPrEx>
          <w:tblLayout w:type="fixed"/>
          <w:tblCellMar>
            <w:top w:w="0" w:type="dxa"/>
            <w:left w:w="15" w:type="dxa"/>
            <w:bottom w:w="0" w:type="dxa"/>
            <w:right w:w="15" w:type="dxa"/>
          </w:tblCellMar>
        </w:tblPrEx>
        <w:trPr>
          <w:trHeight w:val="219" w:hRule="atLeast"/>
          <w:jc w:val="center"/>
        </w:trPr>
        <w:tc>
          <w:tcPr>
            <w:tcW w:w="104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color w:val="000000"/>
                <w:sz w:val="11"/>
                <w:szCs w:val="11"/>
              </w:rPr>
            </w:pPr>
            <w:r>
              <w:rPr>
                <w:rFonts w:hint="eastAsia" w:ascii="宋体" w:hAnsi="宋体"/>
                <w:color w:val="000000"/>
                <w:sz w:val="11"/>
                <w:szCs w:val="11"/>
              </w:rPr>
              <w:t>无形资产及递延资产</w:t>
            </w:r>
          </w:p>
        </w:tc>
        <w:tc>
          <w:tcPr>
            <w:tcW w:w="854"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color w:val="000000"/>
                <w:sz w:val="11"/>
                <w:szCs w:val="11"/>
              </w:rPr>
            </w:pPr>
            <w:r>
              <w:rPr>
                <w:rFonts w:ascii="宋体" w:hAnsi="宋体"/>
                <w:color w:val="000000"/>
                <w:sz w:val="11"/>
                <w:szCs w:val="11"/>
              </w:rPr>
              <w:t xml:space="preserve">1,720,000.00 </w:t>
            </w:r>
          </w:p>
        </w:tc>
        <w:tc>
          <w:tcPr>
            <w:tcW w:w="991"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color w:val="000000"/>
                <w:sz w:val="11"/>
                <w:szCs w:val="11"/>
              </w:rPr>
            </w:pPr>
            <w:r>
              <w:rPr>
                <w:rFonts w:hint="eastAsia" w:ascii="宋体" w:hAnsi="宋体"/>
                <w:color w:val="000000"/>
                <w:sz w:val="11"/>
                <w:szCs w:val="11"/>
              </w:rPr>
              <w:t>实收资本</w:t>
            </w:r>
          </w:p>
        </w:tc>
        <w:tc>
          <w:tcPr>
            <w:tcW w:w="890"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color w:val="000000"/>
                <w:sz w:val="11"/>
                <w:szCs w:val="11"/>
              </w:rPr>
            </w:pPr>
            <w:r>
              <w:rPr>
                <w:rFonts w:ascii="宋体" w:hAnsi="宋体"/>
                <w:color w:val="000000"/>
                <w:sz w:val="11"/>
                <w:szCs w:val="11"/>
              </w:rPr>
              <w:t xml:space="preserve">16,000,000.00 </w:t>
            </w:r>
          </w:p>
        </w:tc>
      </w:tr>
      <w:tr>
        <w:tblPrEx>
          <w:tblLayout w:type="fixed"/>
          <w:tblCellMar>
            <w:top w:w="0" w:type="dxa"/>
            <w:left w:w="15" w:type="dxa"/>
            <w:bottom w:w="0" w:type="dxa"/>
            <w:right w:w="15" w:type="dxa"/>
          </w:tblCellMar>
        </w:tblPrEx>
        <w:trPr>
          <w:trHeight w:val="219" w:hRule="atLeast"/>
          <w:jc w:val="center"/>
        </w:trPr>
        <w:tc>
          <w:tcPr>
            <w:tcW w:w="104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color w:val="000000"/>
                <w:sz w:val="11"/>
                <w:szCs w:val="11"/>
              </w:rPr>
            </w:pPr>
            <w:r>
              <w:rPr>
                <w:rFonts w:hint="eastAsia" w:ascii="宋体" w:hAnsi="宋体"/>
                <w:color w:val="000000"/>
                <w:sz w:val="11"/>
                <w:szCs w:val="11"/>
              </w:rPr>
              <w:t>其他资产</w:t>
            </w:r>
          </w:p>
        </w:tc>
        <w:tc>
          <w:tcPr>
            <w:tcW w:w="854"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color w:val="000000"/>
                <w:sz w:val="11"/>
                <w:szCs w:val="11"/>
              </w:rPr>
            </w:pPr>
            <w:r>
              <w:rPr>
                <w:rFonts w:ascii="宋体" w:hAnsi="宋体"/>
                <w:color w:val="000000"/>
                <w:sz w:val="11"/>
                <w:szCs w:val="11"/>
              </w:rPr>
              <w:t xml:space="preserve">860,000.00 </w:t>
            </w:r>
          </w:p>
        </w:tc>
        <w:tc>
          <w:tcPr>
            <w:tcW w:w="991"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color w:val="000000"/>
                <w:sz w:val="11"/>
                <w:szCs w:val="11"/>
              </w:rPr>
            </w:pPr>
            <w:r>
              <w:rPr>
                <w:rFonts w:hint="eastAsia" w:ascii="宋体" w:hAnsi="宋体"/>
                <w:color w:val="000000"/>
                <w:sz w:val="11"/>
                <w:szCs w:val="11"/>
              </w:rPr>
              <w:t>未分配利润</w:t>
            </w:r>
          </w:p>
        </w:tc>
        <w:tc>
          <w:tcPr>
            <w:tcW w:w="890"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color w:val="000000"/>
                <w:sz w:val="11"/>
                <w:szCs w:val="11"/>
              </w:rPr>
            </w:pPr>
            <w:r>
              <w:rPr>
                <w:rFonts w:ascii="宋体" w:hAnsi="宋体"/>
                <w:color w:val="000000"/>
                <w:sz w:val="11"/>
                <w:szCs w:val="11"/>
              </w:rPr>
              <w:t xml:space="preserve">8,300,000.00 </w:t>
            </w:r>
          </w:p>
        </w:tc>
      </w:tr>
      <w:tr>
        <w:tblPrEx>
          <w:tblLayout w:type="fixed"/>
          <w:tblCellMar>
            <w:top w:w="0" w:type="dxa"/>
            <w:left w:w="15" w:type="dxa"/>
            <w:bottom w:w="0" w:type="dxa"/>
            <w:right w:w="15" w:type="dxa"/>
          </w:tblCellMar>
        </w:tblPrEx>
        <w:trPr>
          <w:trHeight w:val="219" w:hRule="atLeast"/>
          <w:jc w:val="center"/>
        </w:trPr>
        <w:tc>
          <w:tcPr>
            <w:tcW w:w="104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color w:val="000000"/>
                <w:sz w:val="11"/>
                <w:szCs w:val="11"/>
              </w:rPr>
            </w:pPr>
          </w:p>
        </w:tc>
        <w:tc>
          <w:tcPr>
            <w:tcW w:w="854"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color w:val="000000"/>
                <w:sz w:val="11"/>
                <w:szCs w:val="11"/>
              </w:rPr>
            </w:pPr>
          </w:p>
        </w:tc>
        <w:tc>
          <w:tcPr>
            <w:tcW w:w="991"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color w:val="000000"/>
                <w:sz w:val="11"/>
                <w:szCs w:val="11"/>
              </w:rPr>
            </w:pPr>
            <w:r>
              <w:rPr>
                <w:rFonts w:hint="eastAsia" w:ascii="宋体" w:hAnsi="宋体"/>
                <w:color w:val="000000"/>
                <w:sz w:val="11"/>
                <w:szCs w:val="11"/>
              </w:rPr>
              <w:t>外币报表折算差额</w:t>
            </w:r>
          </w:p>
        </w:tc>
        <w:tc>
          <w:tcPr>
            <w:tcW w:w="890"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color w:val="000000"/>
                <w:sz w:val="11"/>
                <w:szCs w:val="11"/>
              </w:rPr>
            </w:pPr>
            <w:r>
              <w:rPr>
                <w:rFonts w:ascii="宋体" w:hAnsi="宋体"/>
                <w:color w:val="000000"/>
                <w:sz w:val="11"/>
                <w:szCs w:val="11"/>
              </w:rPr>
              <w:t xml:space="preserve">1,500,000.00 </w:t>
            </w:r>
          </w:p>
        </w:tc>
      </w:tr>
      <w:tr>
        <w:tblPrEx>
          <w:tblLayout w:type="fixed"/>
          <w:tblCellMar>
            <w:top w:w="0" w:type="dxa"/>
            <w:left w:w="15" w:type="dxa"/>
            <w:bottom w:w="0" w:type="dxa"/>
            <w:right w:w="15" w:type="dxa"/>
          </w:tblCellMar>
        </w:tblPrEx>
        <w:trPr>
          <w:trHeight w:val="229" w:hRule="atLeast"/>
          <w:jc w:val="center"/>
        </w:trPr>
        <w:tc>
          <w:tcPr>
            <w:tcW w:w="104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color w:val="000000"/>
                <w:sz w:val="11"/>
                <w:szCs w:val="11"/>
              </w:rPr>
            </w:pPr>
            <w:r>
              <w:rPr>
                <w:rFonts w:hint="eastAsia" w:ascii="宋体" w:hAnsi="宋体"/>
                <w:color w:val="000000"/>
                <w:sz w:val="11"/>
                <w:szCs w:val="11"/>
              </w:rPr>
              <w:t>合计</w:t>
            </w:r>
          </w:p>
        </w:tc>
        <w:tc>
          <w:tcPr>
            <w:tcW w:w="854"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color w:val="000000"/>
                <w:sz w:val="11"/>
                <w:szCs w:val="11"/>
              </w:rPr>
            </w:pPr>
            <w:r>
              <w:rPr>
                <w:rFonts w:ascii="宋体" w:hAnsi="宋体"/>
                <w:color w:val="000000"/>
                <w:sz w:val="11"/>
                <w:szCs w:val="11"/>
              </w:rPr>
              <w:t xml:space="preserve">51,600,000.00 </w:t>
            </w:r>
          </w:p>
        </w:tc>
        <w:tc>
          <w:tcPr>
            <w:tcW w:w="991"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color w:val="000000"/>
                <w:sz w:val="11"/>
                <w:szCs w:val="11"/>
              </w:rPr>
            </w:pPr>
            <w:r>
              <w:rPr>
                <w:rFonts w:hint="eastAsia" w:ascii="宋体" w:hAnsi="宋体"/>
                <w:color w:val="000000"/>
                <w:sz w:val="11"/>
                <w:szCs w:val="11"/>
              </w:rPr>
              <w:t>合计</w:t>
            </w:r>
          </w:p>
        </w:tc>
        <w:tc>
          <w:tcPr>
            <w:tcW w:w="890"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color w:val="000000"/>
                <w:sz w:val="11"/>
                <w:szCs w:val="11"/>
              </w:rPr>
            </w:pPr>
            <w:r>
              <w:rPr>
                <w:rFonts w:ascii="宋体" w:hAnsi="宋体"/>
                <w:color w:val="000000"/>
                <w:sz w:val="11"/>
                <w:szCs w:val="11"/>
              </w:rPr>
              <w:t xml:space="preserve">51,600,000.00 </w:t>
            </w:r>
          </w:p>
        </w:tc>
      </w:tr>
    </w:tbl>
    <w:p>
      <w:pPr>
        <w:spacing w:line="160" w:lineRule="exact"/>
        <w:jc w:val="left"/>
        <w:rPr>
          <w:rFonts w:ascii="宋体" w:cs="宋体"/>
          <w:sz w:val="15"/>
          <w:szCs w:val="15"/>
        </w:rPr>
      </w:pPr>
    </w:p>
    <w:p>
      <w:pPr>
        <w:spacing w:line="160" w:lineRule="exact"/>
        <w:jc w:val="left"/>
        <w:rPr>
          <w:rFonts w:ascii="宋体" w:cs="宋体"/>
          <w:sz w:val="15"/>
          <w:szCs w:val="15"/>
        </w:rPr>
      </w:pPr>
      <w:r>
        <w:rPr>
          <w:rFonts w:hint="eastAsia" w:ascii="宋体" w:hAnsi="宋体" w:cs="宋体"/>
          <w:b/>
          <w:bCs/>
          <w:sz w:val="15"/>
          <w:szCs w:val="15"/>
        </w:rPr>
        <w:t>所得税的性质</w:t>
      </w:r>
      <w:r>
        <w:rPr>
          <w:rFonts w:hint="eastAsia" w:ascii="宋体" w:hAnsi="宋体" w:cs="宋体"/>
          <w:sz w:val="15"/>
          <w:szCs w:val="15"/>
        </w:rPr>
        <w:t>：企业所得税是国家对企业在一定期间内产生、经营所得和其他所得依法征收的一种税。</w:t>
      </w:r>
    </w:p>
    <w:p>
      <w:pPr>
        <w:spacing w:line="160" w:lineRule="exact"/>
        <w:jc w:val="left"/>
        <w:rPr>
          <w:rFonts w:ascii="宋体" w:cs="宋体"/>
          <w:sz w:val="15"/>
          <w:szCs w:val="15"/>
        </w:rPr>
      </w:pPr>
      <w:r>
        <w:rPr>
          <w:rFonts w:hint="eastAsia" w:ascii="宋体" w:hAnsi="宋体" w:cs="宋体"/>
          <w:b/>
          <w:sz w:val="15"/>
          <w:szCs w:val="15"/>
        </w:rPr>
        <w:t>简述关于所得税性质的两种观点</w:t>
      </w:r>
      <w:r>
        <w:rPr>
          <w:rFonts w:hint="eastAsia" w:ascii="宋体" w:hAnsi="宋体" w:cs="宋体"/>
          <w:sz w:val="15"/>
          <w:szCs w:val="15"/>
        </w:rPr>
        <w:t>：对于所得税的性质，国际上存在两种观点：收益分配观（利润分配观）和费用观。收益非配观认为：企业向政府缴纳的各种税金，与向投资这分配的利润后现金股利一样，具有利润分配的性质，是企业的一箱利润分配。却别仅在于分配的对象是国家政府而已，是国家以社会管理者的身份参与企业利润分配的所得。费用观则认为：企业想国家政府缴纳的各种赎金与企业其他支出一样，均属于费用性质。国际会计准则委员会（</w:t>
      </w:r>
      <w:r>
        <w:rPr>
          <w:rFonts w:ascii="宋体" w:hAnsi="宋体" w:cs="宋体"/>
          <w:sz w:val="15"/>
          <w:szCs w:val="15"/>
        </w:rPr>
        <w:t>IASC</w:t>
      </w:r>
      <w:r>
        <w:rPr>
          <w:rFonts w:hint="eastAsia" w:ascii="宋体" w:hAnsi="宋体" w:cs="宋体"/>
          <w:sz w:val="15"/>
          <w:szCs w:val="15"/>
        </w:rPr>
        <w:t>）和世界上的一些主要国家均将所得税作为费用处理，在计算净利润前扣除。</w:t>
      </w:r>
    </w:p>
    <w:p>
      <w:pPr>
        <w:spacing w:line="160" w:lineRule="exact"/>
        <w:jc w:val="left"/>
        <w:rPr>
          <w:rFonts w:ascii="宋体" w:cs="宋体"/>
          <w:sz w:val="15"/>
          <w:szCs w:val="15"/>
        </w:rPr>
      </w:pPr>
      <w:r>
        <w:rPr>
          <w:rFonts w:hint="eastAsia" w:ascii="宋体" w:hAnsi="宋体" w:cs="宋体"/>
          <w:sz w:val="15"/>
          <w:szCs w:val="15"/>
        </w:rPr>
        <w:t>依据我国所得税准则，利润表中的所得税费用由企业当期应交所得税和递延所得税两部分构成。</w:t>
      </w:r>
    </w:p>
    <w:p>
      <w:pPr>
        <w:spacing w:line="160" w:lineRule="exact"/>
        <w:jc w:val="left"/>
        <w:rPr>
          <w:rFonts w:ascii="宋体" w:cs="宋体"/>
          <w:b/>
          <w:sz w:val="15"/>
          <w:szCs w:val="15"/>
        </w:rPr>
      </w:pPr>
      <w:r>
        <w:rPr>
          <w:rFonts w:hint="eastAsia" w:ascii="宋体" w:hAnsi="宋体" w:cs="宋体"/>
          <w:b/>
          <w:sz w:val="15"/>
          <w:szCs w:val="15"/>
        </w:rPr>
        <w:t>所得税会计的产生和发展时期</w:t>
      </w:r>
    </w:p>
    <w:p>
      <w:pPr>
        <w:spacing w:line="160" w:lineRule="exact"/>
        <w:jc w:val="left"/>
        <w:rPr>
          <w:rFonts w:ascii="宋体" w:cs="宋体"/>
          <w:sz w:val="15"/>
          <w:szCs w:val="15"/>
        </w:rPr>
      </w:pPr>
      <w:r>
        <w:rPr>
          <w:rFonts w:hint="eastAsia" w:ascii="宋体" w:hAnsi="宋体" w:cs="宋体"/>
          <w:sz w:val="15"/>
          <w:szCs w:val="15"/>
        </w:rPr>
        <w:t>简述资产负债表债务法的意义：资产负债表债务法给予资产负债观。按资产负债观确认的收益属于经济收益，既考虑交易因素的影响，也考虑非交易因素的影响。因而，比按照收入费用观确认的收益更为全面，对使用者也更为有用，能够有助于会计信息的使用者对企业在报告日的财务状况和未来现金流量作出恰当的评价，提高预测价值。另一方面，在资产负债表债务法下，确认和计量已发生的交易和是想对未来所得税水流入或流出的影响，即确认和计量递延所得税资产和递延所得税负责，能较为完整地体现资产负债观念，在所得税的会计核算方面贯彻了资产、负债界定。</w:t>
      </w:r>
    </w:p>
    <w:p>
      <w:pPr>
        <w:spacing w:line="160" w:lineRule="exact"/>
        <w:jc w:val="left"/>
        <w:rPr>
          <w:rFonts w:ascii="宋体" w:cs="宋体"/>
          <w:sz w:val="15"/>
          <w:szCs w:val="15"/>
        </w:rPr>
      </w:pPr>
      <w:r>
        <w:rPr>
          <w:rFonts w:hint="eastAsia" w:ascii="宋体" w:hAnsi="宋体" w:cs="宋体"/>
          <w:b/>
          <w:sz w:val="15"/>
          <w:szCs w:val="15"/>
        </w:rPr>
        <w:t>所得税会计核算程序：</w:t>
      </w:r>
      <w:r>
        <w:rPr>
          <w:rFonts w:hint="eastAsia" w:ascii="宋体" w:hAnsi="宋体" w:cs="宋体"/>
          <w:sz w:val="15"/>
          <w:szCs w:val="15"/>
        </w:rPr>
        <w:t>资产负债表债务法下所得税会计核算的一般程序为</w:t>
      </w:r>
      <w:r>
        <w:rPr>
          <w:rFonts w:ascii="宋体" w:hAnsi="宋体" w:cs="宋体"/>
          <w:sz w:val="15"/>
          <w:szCs w:val="15"/>
        </w:rPr>
        <w:t>1</w:t>
      </w:r>
      <w:r>
        <w:rPr>
          <w:rFonts w:hint="eastAsia" w:ascii="宋体" w:hAnsi="宋体" w:cs="宋体"/>
          <w:sz w:val="15"/>
          <w:szCs w:val="15"/>
        </w:rPr>
        <w:t>确定资产和负债的账面价值</w:t>
      </w:r>
      <w:r>
        <w:rPr>
          <w:rFonts w:ascii="宋体" w:hAnsi="宋体" w:cs="宋体"/>
          <w:sz w:val="15"/>
          <w:szCs w:val="15"/>
        </w:rPr>
        <w:t>2</w:t>
      </w:r>
      <w:r>
        <w:rPr>
          <w:rFonts w:hint="eastAsia" w:ascii="宋体" w:hAnsi="宋体" w:cs="宋体"/>
          <w:sz w:val="15"/>
          <w:szCs w:val="15"/>
        </w:rPr>
        <w:t>确定资产和负债的</w:t>
      </w:r>
    </w:p>
    <w:p>
      <w:pPr>
        <w:spacing w:line="160" w:lineRule="exact"/>
        <w:jc w:val="left"/>
        <w:rPr>
          <w:rFonts w:ascii="宋体" w:cs="宋体"/>
          <w:sz w:val="15"/>
          <w:szCs w:val="15"/>
        </w:rPr>
      </w:pPr>
      <w:r>
        <w:rPr>
          <w:rFonts w:hint="eastAsia" w:ascii="宋体" w:hAnsi="宋体" w:cs="宋体"/>
          <w:sz w:val="15"/>
          <w:szCs w:val="15"/>
        </w:rPr>
        <w:t>确认暂时性差异，计算递延所得税资产和递延所得税负债的确认额或转回额，计算当期应交所得税，确认利润表中的所得税费用，</w:t>
      </w:r>
    </w:p>
    <w:p>
      <w:pPr>
        <w:spacing w:line="160" w:lineRule="exact"/>
        <w:jc w:val="left"/>
        <w:rPr>
          <w:rFonts w:ascii="宋体" w:cs="宋体"/>
          <w:sz w:val="15"/>
          <w:szCs w:val="15"/>
        </w:rPr>
      </w:pPr>
      <w:r>
        <w:rPr>
          <w:rFonts w:hint="eastAsia" w:ascii="宋体" w:hAnsi="宋体" w:cs="宋体"/>
          <w:b/>
          <w:sz w:val="15"/>
          <w:szCs w:val="15"/>
        </w:rPr>
        <w:t>资产的计税基础；</w:t>
      </w:r>
      <w:r>
        <w:rPr>
          <w:rFonts w:hint="eastAsia" w:ascii="宋体" w:hAnsi="宋体" w:cs="宋体"/>
          <w:sz w:val="15"/>
          <w:szCs w:val="15"/>
        </w:rPr>
        <w:t>是指企业在收回资产的账面价值过程中，计算应纳税所得额时按照税法规定可以自应税经济利益中抵扣的金额，即某项资产在未来期间使用或最终处置时，依据税法规定可以作为成本或费用税前列支而不需要缴税的总金额。公式表示如下资产的计税基础</w:t>
      </w:r>
      <w:r>
        <w:rPr>
          <w:rFonts w:ascii="宋体" w:hAnsi="宋体" w:cs="宋体"/>
          <w:sz w:val="15"/>
          <w:szCs w:val="15"/>
        </w:rPr>
        <w:t>=</w:t>
      </w:r>
      <w:r>
        <w:rPr>
          <w:rFonts w:hint="eastAsia" w:ascii="宋体" w:hAnsi="宋体" w:cs="宋体"/>
          <w:sz w:val="15"/>
          <w:szCs w:val="15"/>
        </w:rPr>
        <w:t>未来可税前列支的金额，某一资产负债表日资产的计税基础</w:t>
      </w:r>
      <w:r>
        <w:rPr>
          <w:rFonts w:ascii="宋体" w:hAnsi="宋体" w:cs="宋体"/>
          <w:sz w:val="15"/>
          <w:szCs w:val="15"/>
        </w:rPr>
        <w:t>=</w:t>
      </w:r>
      <w:r>
        <w:rPr>
          <w:rFonts w:hint="eastAsia" w:ascii="宋体" w:hAnsi="宋体" w:cs="宋体"/>
          <w:sz w:val="15"/>
          <w:szCs w:val="15"/>
        </w:rPr>
        <w:t>该项资产成本</w:t>
      </w:r>
      <w:r>
        <w:rPr>
          <w:rFonts w:ascii="宋体" w:cs="宋体"/>
          <w:sz w:val="15"/>
          <w:szCs w:val="15"/>
        </w:rPr>
        <w:t>-</w:t>
      </w:r>
      <w:r>
        <w:rPr>
          <w:rFonts w:hint="eastAsia" w:ascii="宋体" w:hAnsi="宋体" w:cs="宋体"/>
          <w:sz w:val="15"/>
          <w:szCs w:val="15"/>
        </w:rPr>
        <w:t>该项资产以前期间已税前列支的金额。</w:t>
      </w:r>
    </w:p>
    <w:p>
      <w:pPr>
        <w:spacing w:line="160" w:lineRule="exact"/>
        <w:jc w:val="left"/>
        <w:rPr>
          <w:rFonts w:ascii="宋体" w:cs="宋体"/>
          <w:sz w:val="15"/>
          <w:szCs w:val="15"/>
        </w:rPr>
      </w:pPr>
      <w:r>
        <w:rPr>
          <w:rFonts w:hint="eastAsia" w:ascii="宋体" w:hAnsi="宋体" w:cs="宋体"/>
          <w:b/>
          <w:sz w:val="15"/>
          <w:szCs w:val="15"/>
        </w:rPr>
        <w:t>负债的计税基础</w:t>
      </w:r>
      <w:r>
        <w:rPr>
          <w:rFonts w:hint="eastAsia" w:ascii="宋体" w:hAnsi="宋体" w:cs="宋体"/>
          <w:sz w:val="15"/>
          <w:szCs w:val="15"/>
        </w:rPr>
        <w:t>是指负债的账面价值减去其为来期间计算应纳税所得额时按照税法规定可予抵扣的金额。亦即某项负债在未来支付是不能抵扣税额。</w:t>
      </w:r>
    </w:p>
    <w:p>
      <w:pPr>
        <w:spacing w:line="160" w:lineRule="exact"/>
        <w:jc w:val="left"/>
        <w:rPr>
          <w:rFonts w:ascii="宋体" w:cs="宋体"/>
          <w:sz w:val="15"/>
          <w:szCs w:val="15"/>
        </w:rPr>
      </w:pPr>
      <w:r>
        <w:rPr>
          <w:rFonts w:hint="eastAsia" w:ascii="宋体" w:hAnsi="宋体" w:cs="宋体"/>
          <w:b/>
          <w:bCs/>
          <w:sz w:val="15"/>
          <w:szCs w:val="15"/>
        </w:rPr>
        <w:t>暂时性差异</w:t>
      </w:r>
      <w:r>
        <w:rPr>
          <w:rFonts w:hint="eastAsia" w:ascii="宋体" w:hAnsi="宋体" w:cs="宋体"/>
          <w:sz w:val="15"/>
          <w:szCs w:val="15"/>
        </w:rPr>
        <w:t>是指资产或负债的账面价值与其计税基础之间的差额。</w:t>
      </w:r>
    </w:p>
    <w:p>
      <w:pPr>
        <w:spacing w:line="160" w:lineRule="exact"/>
        <w:jc w:val="left"/>
        <w:rPr>
          <w:rFonts w:ascii="宋体" w:cs="宋体"/>
          <w:sz w:val="15"/>
          <w:szCs w:val="15"/>
        </w:rPr>
      </w:pPr>
      <w:r>
        <w:rPr>
          <w:rFonts w:hint="eastAsia" w:ascii="宋体" w:hAnsi="宋体" w:cs="宋体"/>
          <w:b/>
          <w:bCs/>
          <w:sz w:val="15"/>
          <w:szCs w:val="15"/>
        </w:rPr>
        <w:t>暂时性差异的分类</w:t>
      </w:r>
      <w:r>
        <w:rPr>
          <w:rFonts w:hint="eastAsia" w:ascii="宋体" w:hAnsi="宋体" w:cs="宋体"/>
          <w:sz w:val="15"/>
          <w:szCs w:val="15"/>
        </w:rPr>
        <w:t>；抵扣暂时性差异和应纳税暂时性差异。</w:t>
      </w:r>
    </w:p>
    <w:p>
      <w:pPr>
        <w:spacing w:line="160" w:lineRule="exact"/>
        <w:jc w:val="left"/>
        <w:rPr>
          <w:rFonts w:ascii="宋体" w:cs="宋体"/>
          <w:sz w:val="15"/>
          <w:szCs w:val="15"/>
        </w:rPr>
      </w:pPr>
      <w:r>
        <w:rPr>
          <w:rFonts w:hint="eastAsia" w:ascii="宋体" w:hAnsi="宋体" w:cs="宋体"/>
          <w:b/>
          <w:bCs/>
          <w:sz w:val="15"/>
          <w:szCs w:val="15"/>
        </w:rPr>
        <w:t>可抵扣暂时性差异</w:t>
      </w:r>
      <w:r>
        <w:rPr>
          <w:rFonts w:hint="eastAsia" w:ascii="宋体" w:hAnsi="宋体" w:cs="宋体"/>
          <w:sz w:val="15"/>
          <w:szCs w:val="15"/>
        </w:rPr>
        <w:t>，是指企业在确定未来收回资产或清偿负债期间的应纳税所得额时，将导致产生可抵扣金额的暂时性差异。</w:t>
      </w:r>
    </w:p>
    <w:p>
      <w:pPr>
        <w:spacing w:line="160" w:lineRule="exact"/>
        <w:jc w:val="left"/>
        <w:rPr>
          <w:rFonts w:ascii="宋体" w:cs="宋体"/>
          <w:sz w:val="15"/>
          <w:szCs w:val="15"/>
        </w:rPr>
      </w:pPr>
      <w:r>
        <w:rPr>
          <w:rFonts w:hint="eastAsia" w:ascii="宋体" w:hAnsi="宋体" w:cs="宋体"/>
          <w:b/>
          <w:bCs/>
          <w:sz w:val="15"/>
          <w:szCs w:val="15"/>
        </w:rPr>
        <w:t>可抵扣暂时性差异通常产生于以下两种情况</w:t>
      </w:r>
      <w:r>
        <w:rPr>
          <w:rFonts w:ascii="宋体" w:hAnsi="宋体" w:cs="宋体"/>
          <w:sz w:val="15"/>
          <w:szCs w:val="15"/>
        </w:rPr>
        <w:t>1</w:t>
      </w:r>
      <w:r>
        <w:rPr>
          <w:rFonts w:hint="eastAsia" w:ascii="宋体" w:hAnsi="宋体" w:cs="宋体"/>
          <w:sz w:val="15"/>
          <w:szCs w:val="15"/>
        </w:rPr>
        <w:t>资产的账面价值小于其计税基础</w:t>
      </w:r>
      <w:r>
        <w:rPr>
          <w:rFonts w:ascii="宋体" w:hAnsi="宋体" w:cs="宋体"/>
          <w:sz w:val="15"/>
          <w:szCs w:val="15"/>
        </w:rPr>
        <w:t>2</w:t>
      </w:r>
      <w:r>
        <w:rPr>
          <w:rFonts w:hint="eastAsia" w:ascii="宋体" w:hAnsi="宋体" w:cs="宋体"/>
          <w:sz w:val="15"/>
          <w:szCs w:val="15"/>
        </w:rPr>
        <w:t>负债的账面价值大于其计税基础</w:t>
      </w:r>
    </w:p>
    <w:p>
      <w:pPr>
        <w:spacing w:line="160" w:lineRule="exact"/>
        <w:jc w:val="left"/>
        <w:rPr>
          <w:rFonts w:ascii="宋体" w:cs="宋体"/>
          <w:sz w:val="15"/>
          <w:szCs w:val="15"/>
        </w:rPr>
      </w:pPr>
      <w:r>
        <w:rPr>
          <w:rFonts w:hint="eastAsia" w:ascii="宋体" w:hAnsi="宋体" w:cs="宋体"/>
          <w:b/>
          <w:sz w:val="15"/>
          <w:szCs w:val="15"/>
        </w:rPr>
        <w:t>应纳税暂时性差异</w:t>
      </w:r>
      <w:r>
        <w:rPr>
          <w:rFonts w:hint="eastAsia" w:ascii="宋体" w:hAnsi="宋体" w:cs="宋体"/>
          <w:sz w:val="15"/>
          <w:szCs w:val="15"/>
        </w:rPr>
        <w:t>是指企业的确定未来收回资产或清偿负债期间的应纳税所得额时，将导致产生应税金额的暂时性差异通常产生于以下两种情况</w:t>
      </w:r>
      <w:r>
        <w:rPr>
          <w:rFonts w:ascii="宋体" w:hAnsi="宋体" w:cs="宋体"/>
          <w:sz w:val="15"/>
          <w:szCs w:val="15"/>
        </w:rPr>
        <w:t>1</w:t>
      </w:r>
      <w:r>
        <w:rPr>
          <w:rFonts w:hint="eastAsia" w:ascii="宋体" w:hAnsi="宋体" w:cs="宋体"/>
          <w:sz w:val="15"/>
          <w:szCs w:val="15"/>
        </w:rPr>
        <w:t>资产的账面价值大于其计税基础</w:t>
      </w:r>
      <w:r>
        <w:rPr>
          <w:rFonts w:ascii="宋体" w:hAnsi="宋体" w:cs="宋体"/>
          <w:sz w:val="15"/>
          <w:szCs w:val="15"/>
        </w:rPr>
        <w:t>2</w:t>
      </w:r>
      <w:r>
        <w:rPr>
          <w:rFonts w:hint="eastAsia" w:ascii="宋体" w:hAnsi="宋体" w:cs="宋体"/>
          <w:sz w:val="15"/>
          <w:szCs w:val="15"/>
        </w:rPr>
        <w:t>负债的账面价值小于其计税基础；</w:t>
      </w:r>
    </w:p>
    <w:p>
      <w:pPr>
        <w:spacing w:line="160" w:lineRule="exact"/>
        <w:jc w:val="left"/>
        <w:rPr>
          <w:rFonts w:ascii="宋体" w:cs="宋体"/>
          <w:sz w:val="15"/>
          <w:szCs w:val="15"/>
        </w:rPr>
      </w:pPr>
      <w:r>
        <w:rPr>
          <w:rFonts w:hint="eastAsia" w:ascii="宋体" w:hAnsi="宋体" w:cs="宋体"/>
          <w:b/>
          <w:bCs/>
          <w:sz w:val="15"/>
          <w:szCs w:val="15"/>
        </w:rPr>
        <w:t>资产项目产生的暂时性差异性</w:t>
      </w:r>
      <w:r>
        <w:rPr>
          <w:rFonts w:hint="eastAsia" w:ascii="宋体" w:hAnsi="宋体" w:cs="宋体"/>
          <w:sz w:val="15"/>
          <w:szCs w:val="15"/>
        </w:rPr>
        <w:t>企业提取的减值准备一般不得在税前扣除，只有在资产发生（实质性损失）时才充许税前扣除由于资产的计税基础（不会）随着减值准备的提取而发生变化，因此便产生了资产在计提减值准备后账面价值与其计税基础之间的（暂时性差异）。</w:t>
      </w:r>
    </w:p>
    <w:p>
      <w:pPr>
        <w:spacing w:line="160" w:lineRule="exact"/>
        <w:jc w:val="left"/>
        <w:rPr>
          <w:rFonts w:ascii="宋体" w:cs="宋体"/>
          <w:sz w:val="15"/>
          <w:szCs w:val="15"/>
        </w:rPr>
      </w:pPr>
      <w:r>
        <w:rPr>
          <w:rFonts w:hint="eastAsia" w:ascii="宋体" w:hAnsi="宋体" w:cs="宋体"/>
          <w:b/>
          <w:bCs/>
          <w:sz w:val="15"/>
          <w:szCs w:val="15"/>
        </w:rPr>
        <w:t>负债项目的暂时差异</w:t>
      </w:r>
      <w:r>
        <w:rPr>
          <w:rFonts w:hint="eastAsia" w:ascii="宋体" w:hAnsi="宋体" w:cs="宋体"/>
          <w:sz w:val="15"/>
          <w:szCs w:val="15"/>
        </w:rPr>
        <w:t>预收账款产生的暂时性差异这种情况下的预收账款在未来期间计税时可予税前扣除的金额为</w:t>
      </w:r>
      <w:r>
        <w:rPr>
          <w:rFonts w:ascii="宋体" w:cs="宋体"/>
          <w:sz w:val="15"/>
          <w:szCs w:val="15"/>
        </w:rPr>
        <w:t>0</w:t>
      </w:r>
      <w:r>
        <w:rPr>
          <w:rFonts w:hint="eastAsia" w:ascii="宋体" w:hAnsi="宋体" w:cs="宋体"/>
          <w:sz w:val="15"/>
          <w:szCs w:val="15"/>
        </w:rPr>
        <w:t>计税基础等于账面价值，不产生暂时性差异未来期间依据会计准则确认收入时不应在会计入纳税所得而予全额税前扣除其计税基础为</w:t>
      </w:r>
      <w:r>
        <w:rPr>
          <w:rFonts w:ascii="宋体" w:cs="宋体"/>
          <w:sz w:val="15"/>
          <w:szCs w:val="15"/>
        </w:rPr>
        <w:t>0</w:t>
      </w:r>
      <w:r>
        <w:rPr>
          <w:rFonts w:hint="eastAsia" w:ascii="宋体" w:hAnsi="宋体" w:cs="宋体"/>
          <w:sz w:val="15"/>
          <w:szCs w:val="15"/>
        </w:rPr>
        <w:t>该预收账款的账面价值大于计税基础之间的差额则是其在未来期间计税时的抵扣暂时性差异。</w:t>
      </w:r>
    </w:p>
    <w:p>
      <w:pPr>
        <w:spacing w:line="160" w:lineRule="exact"/>
        <w:jc w:val="left"/>
        <w:rPr>
          <w:rFonts w:ascii="宋体" w:cs="宋体"/>
          <w:sz w:val="15"/>
          <w:szCs w:val="15"/>
        </w:rPr>
      </w:pPr>
      <w:r>
        <w:rPr>
          <w:rFonts w:hint="eastAsia" w:ascii="宋体" w:hAnsi="宋体" w:cs="宋体"/>
          <w:b/>
          <w:bCs/>
          <w:sz w:val="15"/>
          <w:szCs w:val="15"/>
        </w:rPr>
        <w:t>特殊项目产生的暂时性差异</w:t>
      </w:r>
      <w:r>
        <w:rPr>
          <w:rFonts w:hint="eastAsia" w:ascii="宋体" w:hAnsi="宋体" w:cs="宋体"/>
          <w:sz w:val="15"/>
          <w:szCs w:val="15"/>
        </w:rPr>
        <w:t>未作为资产、负债确认的项目产生的暂时性差异其账面价值</w:t>
      </w:r>
      <w:r>
        <w:rPr>
          <w:rFonts w:ascii="宋体" w:cs="宋体"/>
          <w:sz w:val="15"/>
          <w:szCs w:val="15"/>
        </w:rPr>
        <w:t>0</w:t>
      </w:r>
      <w:r>
        <w:rPr>
          <w:rFonts w:hint="eastAsia" w:ascii="宋体" w:hAnsi="宋体" w:cs="宋体"/>
          <w:sz w:val="15"/>
          <w:szCs w:val="15"/>
        </w:rPr>
        <w:t>与计税基础之间的差异也构成暂时性差异，可抵扣亏损和税款抵减产生的暂时性差异我国亏损抵扣的做法对于按照税法规定可以结转以后年度的为弥补亏损即可抵扣亏损及税款抵减本质上可抵扣亏损和税款抵减与可抵扣暂时性差异具有同样作用，将其视同为可抵扣暂时性差异。</w:t>
      </w:r>
    </w:p>
    <w:p>
      <w:pPr>
        <w:spacing w:line="160" w:lineRule="exact"/>
        <w:jc w:val="left"/>
        <w:rPr>
          <w:rFonts w:ascii="宋体" w:cs="宋体"/>
          <w:sz w:val="15"/>
          <w:szCs w:val="15"/>
        </w:rPr>
      </w:pPr>
      <w:r>
        <w:rPr>
          <w:rFonts w:hint="eastAsia" w:ascii="宋体" w:hAnsi="宋体" w:cs="宋体"/>
          <w:b/>
          <w:bCs/>
          <w:sz w:val="15"/>
          <w:szCs w:val="15"/>
        </w:rPr>
        <w:t>递延所得税资产</w:t>
      </w:r>
      <w:r>
        <w:rPr>
          <w:rFonts w:hint="eastAsia" w:ascii="宋体" w:hAnsi="宋体" w:cs="宋体"/>
          <w:sz w:val="15"/>
          <w:szCs w:val="15"/>
        </w:rPr>
        <w:t>是指根据可抵扣暂时性差异计算得未来期间可收回的所得税金额。</w:t>
      </w:r>
    </w:p>
    <w:p>
      <w:pPr>
        <w:spacing w:line="160" w:lineRule="exact"/>
        <w:jc w:val="left"/>
        <w:rPr>
          <w:rFonts w:ascii="宋体" w:cs="宋体"/>
          <w:sz w:val="15"/>
          <w:szCs w:val="15"/>
        </w:rPr>
      </w:pPr>
      <w:r>
        <w:rPr>
          <w:rFonts w:hint="eastAsia" w:ascii="宋体" w:hAnsi="宋体" w:cs="宋体"/>
          <w:b/>
          <w:bCs/>
          <w:sz w:val="15"/>
          <w:szCs w:val="15"/>
        </w:rPr>
        <w:t>递延所得税负债</w:t>
      </w:r>
      <w:r>
        <w:rPr>
          <w:rFonts w:hint="eastAsia" w:ascii="宋体" w:hAnsi="宋体" w:cs="宋体"/>
          <w:sz w:val="15"/>
          <w:szCs w:val="15"/>
        </w:rPr>
        <w:t>则是指根据应纳税暂时性差异计算得未来期间应付的所得税额。</w:t>
      </w:r>
    </w:p>
    <w:p>
      <w:pPr>
        <w:spacing w:line="160" w:lineRule="exact"/>
        <w:jc w:val="left"/>
        <w:rPr>
          <w:rFonts w:ascii="宋体" w:cs="宋体"/>
          <w:sz w:val="15"/>
          <w:szCs w:val="15"/>
        </w:rPr>
      </w:pPr>
      <w:r>
        <w:rPr>
          <w:rFonts w:hint="eastAsia" w:ascii="宋体" w:hAnsi="宋体" w:cs="宋体"/>
          <w:b/>
          <w:sz w:val="15"/>
          <w:szCs w:val="15"/>
        </w:rPr>
        <w:t>不应确认递延所得税资产；</w:t>
      </w:r>
      <w:r>
        <w:rPr>
          <w:rFonts w:hint="eastAsia" w:ascii="宋体" w:hAnsi="宋体" w:cs="宋体"/>
          <w:sz w:val="15"/>
          <w:szCs w:val="15"/>
        </w:rPr>
        <w:t>不属于企业合并的交易，且发生时既不影响会计利润也不影响应纳税所得额，同事该项交易中产生的资产负债的初始确认金额与其计税基础不同，产生可抵扣暂时性差异的则在交易或事项发生时，该可抵扣暂时性差异对于所得税的影响不确定相应的递延所得税资产。</w:t>
      </w:r>
    </w:p>
    <w:p>
      <w:pPr>
        <w:spacing w:line="160" w:lineRule="exact"/>
        <w:jc w:val="left"/>
        <w:rPr>
          <w:rFonts w:ascii="宋体" w:cs="宋体"/>
          <w:sz w:val="15"/>
          <w:szCs w:val="15"/>
        </w:rPr>
      </w:pPr>
      <w:r>
        <w:rPr>
          <w:rFonts w:hint="eastAsia" w:ascii="宋体" w:hAnsi="宋体" w:cs="宋体"/>
          <w:b/>
          <w:bCs/>
          <w:sz w:val="15"/>
          <w:szCs w:val="15"/>
        </w:rPr>
        <w:t>不确认递延所得税资产的：</w:t>
      </w:r>
      <w:r>
        <w:rPr>
          <w:rFonts w:hint="eastAsia" w:ascii="宋体" w:hAnsi="宋体" w:cs="宋体"/>
          <w:sz w:val="15"/>
          <w:szCs w:val="15"/>
        </w:rPr>
        <w:t>企业对于子公司、联营企业及合营企业投资相关的可抵扣暂时性差异，在不同时具备暂时性差异在可预见的未来很多能转回以及未来很可能获得用来抵扣可抵扣暂时性差异的纳税所得额两个条件时不确认相应的递延所得税资产，资产负责表日企业预计未来期间很可能无法获得足够的应纳税所得额用来利用可抵扣亏损和税款抵减时，不应确认或全额去人递延所得税资产。</w:t>
      </w:r>
    </w:p>
    <w:p>
      <w:pPr>
        <w:spacing w:line="160" w:lineRule="exact"/>
        <w:jc w:val="left"/>
        <w:rPr>
          <w:rFonts w:ascii="宋体" w:cs="宋体"/>
          <w:sz w:val="15"/>
          <w:szCs w:val="15"/>
        </w:rPr>
      </w:pPr>
      <w:r>
        <w:rPr>
          <w:rFonts w:hint="eastAsia" w:ascii="宋体" w:hAnsi="宋体" w:cs="宋体"/>
          <w:b/>
          <w:bCs/>
          <w:sz w:val="15"/>
          <w:szCs w:val="15"/>
        </w:rPr>
        <w:t>递延所得税的负债确认，</w:t>
      </w:r>
      <w:r>
        <w:rPr>
          <w:rFonts w:hint="eastAsia" w:ascii="宋体" w:hAnsi="宋体" w:cs="宋体"/>
          <w:sz w:val="15"/>
          <w:szCs w:val="15"/>
        </w:rPr>
        <w:t>递延所得税负债刺产生于应纳税暂时性差异应纳税暂时性差异项目有固定资产、内部研发支出形成的五星资产、使用寿命不确定的无形资产、交易性金融资产、可供出售金融资产、长期股投权资、投资性房地产、企业合并中取得的资产和负债等</w:t>
      </w:r>
    </w:p>
    <w:p>
      <w:pPr>
        <w:autoSpaceDN w:val="0"/>
        <w:spacing w:line="160" w:lineRule="exact"/>
        <w:rPr>
          <w:rFonts w:ascii="宋体" w:cs="宋体"/>
          <w:sz w:val="15"/>
          <w:szCs w:val="15"/>
        </w:rPr>
      </w:pPr>
      <w:r>
        <w:rPr>
          <w:rFonts w:hint="eastAsia" w:ascii="宋体" w:hAnsi="宋体" w:cs="宋体"/>
          <w:sz w:val="15"/>
          <w:szCs w:val="15"/>
        </w:rPr>
        <w:t>借；所得税费用</w:t>
      </w:r>
      <w:r>
        <w:rPr>
          <w:rFonts w:ascii="宋体" w:hAnsi="宋体" w:cs="宋体"/>
          <w:sz w:val="15"/>
          <w:szCs w:val="15"/>
        </w:rPr>
        <w:t>——</w:t>
      </w:r>
      <w:r>
        <w:rPr>
          <w:rFonts w:hint="eastAsia" w:ascii="宋体" w:hAnsi="宋体" w:cs="宋体"/>
          <w:sz w:val="15"/>
          <w:szCs w:val="15"/>
        </w:rPr>
        <w:t>递延所得税费用</w:t>
      </w:r>
      <w:r>
        <w:rPr>
          <w:rFonts w:ascii="宋体" w:cs="宋体"/>
          <w:sz w:val="15"/>
          <w:szCs w:val="15"/>
        </w:rPr>
        <w:br w:type="textWrapping"/>
      </w:r>
      <w:r>
        <w:rPr>
          <w:rFonts w:hint="eastAsia" w:ascii="宋体" w:hAnsi="宋体" w:cs="宋体"/>
          <w:sz w:val="15"/>
          <w:szCs w:val="15"/>
        </w:rPr>
        <w:t>资本公积</w:t>
      </w:r>
      <w:r>
        <w:rPr>
          <w:rFonts w:ascii="宋体" w:hAnsi="宋体" w:cs="宋体"/>
          <w:sz w:val="15"/>
          <w:szCs w:val="15"/>
        </w:rPr>
        <w:t>——</w:t>
      </w:r>
      <w:r>
        <w:rPr>
          <w:rFonts w:hint="eastAsia" w:ascii="宋体" w:hAnsi="宋体" w:cs="宋体"/>
          <w:sz w:val="15"/>
          <w:szCs w:val="15"/>
        </w:rPr>
        <w:t>其他资本公积</w:t>
      </w:r>
      <w:r>
        <w:rPr>
          <w:rFonts w:ascii="宋体" w:cs="宋体"/>
          <w:sz w:val="15"/>
          <w:szCs w:val="15"/>
        </w:rPr>
        <w:br w:type="textWrapping"/>
      </w:r>
      <w:r>
        <w:rPr>
          <w:rFonts w:hint="eastAsia" w:ascii="宋体" w:hAnsi="宋体" w:cs="宋体"/>
          <w:sz w:val="15"/>
          <w:szCs w:val="15"/>
        </w:rPr>
        <w:t>贷；递延所得税负债</w:t>
      </w:r>
    </w:p>
    <w:p>
      <w:pPr>
        <w:autoSpaceDN w:val="0"/>
        <w:spacing w:line="160" w:lineRule="exact"/>
        <w:rPr>
          <w:rFonts w:ascii="宋体" w:cs="宋体"/>
          <w:sz w:val="15"/>
          <w:szCs w:val="15"/>
        </w:rPr>
      </w:pPr>
      <w:r>
        <w:rPr>
          <w:rFonts w:hint="eastAsia" w:ascii="宋体" w:hAnsi="宋体" w:cs="宋体"/>
          <w:sz w:val="15"/>
          <w:szCs w:val="15"/>
        </w:rPr>
        <w:t>资产负债表日企业按首次确认的递延所得税负债金额或按资产负债表日递延所得税负债的应有余额大于其账面余额的差额，应借记‘所得税费用</w:t>
      </w:r>
      <w:r>
        <w:rPr>
          <w:rFonts w:ascii="宋体" w:hAnsi="宋体" w:cs="宋体"/>
          <w:sz w:val="15"/>
          <w:szCs w:val="15"/>
        </w:rPr>
        <w:t>—</w:t>
      </w:r>
      <w:r>
        <w:rPr>
          <w:rFonts w:hint="eastAsia" w:ascii="宋体" w:hAnsi="宋体" w:cs="宋体"/>
          <w:sz w:val="15"/>
          <w:szCs w:val="15"/>
        </w:rPr>
        <w:t>递延所得水费用’账户，贷记递延所得税负债。</w:t>
      </w:r>
    </w:p>
    <w:p>
      <w:pPr>
        <w:autoSpaceDN w:val="0"/>
        <w:spacing w:line="160" w:lineRule="exact"/>
        <w:rPr>
          <w:rFonts w:ascii="宋体" w:cs="宋体"/>
          <w:sz w:val="15"/>
          <w:szCs w:val="15"/>
        </w:rPr>
      </w:pPr>
      <w:r>
        <w:rPr>
          <w:rFonts w:hint="eastAsia" w:ascii="宋体" w:hAnsi="宋体" w:cs="宋体"/>
          <w:b/>
          <w:bCs/>
          <w:sz w:val="15"/>
          <w:szCs w:val="15"/>
        </w:rPr>
        <w:t>不确认递延所得税负债三种情况：</w:t>
      </w:r>
      <w:r>
        <w:rPr>
          <w:rFonts w:ascii="宋体" w:hAnsi="宋体" w:cs="宋体"/>
          <w:sz w:val="15"/>
          <w:szCs w:val="15"/>
        </w:rPr>
        <w:t>1</w:t>
      </w:r>
      <w:r>
        <w:rPr>
          <w:rFonts w:hint="eastAsia" w:ascii="宋体" w:hAnsi="宋体" w:cs="宋体"/>
          <w:sz w:val="15"/>
          <w:szCs w:val="15"/>
        </w:rPr>
        <w:t>商誉的初始确认</w:t>
      </w:r>
      <w:r>
        <w:rPr>
          <w:rFonts w:ascii="宋体" w:hAnsi="宋体" w:cs="宋体"/>
          <w:sz w:val="15"/>
          <w:szCs w:val="15"/>
        </w:rPr>
        <w:t>2</w:t>
      </w:r>
      <w:r>
        <w:rPr>
          <w:rFonts w:hint="eastAsia" w:ascii="宋体" w:hAnsi="宋体" w:cs="宋体"/>
          <w:sz w:val="15"/>
          <w:szCs w:val="15"/>
        </w:rPr>
        <w:t>企业合并以外的发生时不影响会计利润和纳税所得的其他交易和事项</w:t>
      </w:r>
      <w:r>
        <w:rPr>
          <w:rFonts w:ascii="宋体" w:hAnsi="宋体" w:cs="宋体"/>
          <w:sz w:val="15"/>
          <w:szCs w:val="15"/>
        </w:rPr>
        <w:t>3</w:t>
      </w:r>
      <w:r>
        <w:rPr>
          <w:rFonts w:hint="eastAsia" w:ascii="宋体" w:hAnsi="宋体" w:cs="宋体"/>
          <w:sz w:val="15"/>
          <w:szCs w:val="15"/>
        </w:rPr>
        <w:t>投资企业能够控制转回时间且预计未来很可能不会转回的子公司、联营企业及合营企业投资相关的应纳税暂时性差异。</w:t>
      </w:r>
    </w:p>
    <w:p>
      <w:pPr>
        <w:autoSpaceDN w:val="0"/>
        <w:spacing w:line="160" w:lineRule="exact"/>
        <w:rPr>
          <w:rFonts w:ascii="宋体" w:cs="宋体"/>
          <w:sz w:val="15"/>
          <w:szCs w:val="15"/>
        </w:rPr>
      </w:pPr>
      <w:r>
        <w:rPr>
          <w:rFonts w:hint="eastAsia" w:ascii="宋体" w:hAnsi="宋体" w:cs="宋体"/>
          <w:sz w:val="15"/>
          <w:szCs w:val="15"/>
        </w:rPr>
        <w:t>所得税用有当期所得税（当期应交所得税）和递延所得税两部分组成，它们均应作为所得税费用或收益计入当期损益。当期所得税是指企业依据税法规定针对当期发生的交易和事项，计算确认的应教唆的税金额。公式；当期所得税</w:t>
      </w:r>
      <w:r>
        <w:rPr>
          <w:rFonts w:ascii="宋体" w:hAnsi="宋体" w:cs="宋体"/>
          <w:sz w:val="15"/>
          <w:szCs w:val="15"/>
        </w:rPr>
        <w:t>=</w:t>
      </w:r>
      <w:r>
        <w:rPr>
          <w:rFonts w:hint="eastAsia" w:ascii="宋体" w:hAnsi="宋体" w:cs="宋体"/>
          <w:sz w:val="15"/>
          <w:szCs w:val="15"/>
        </w:rPr>
        <w:t>当期应纳税所得额×适用的所得税税率，应纳税所得额</w:t>
      </w:r>
      <w:r>
        <w:rPr>
          <w:rFonts w:ascii="宋体" w:hAnsi="宋体" w:cs="宋体"/>
          <w:sz w:val="15"/>
          <w:szCs w:val="15"/>
        </w:rPr>
        <w:t>=</w:t>
      </w:r>
      <w:r>
        <w:rPr>
          <w:rFonts w:hint="eastAsia" w:ascii="宋体" w:hAnsi="宋体" w:cs="宋体"/>
          <w:sz w:val="15"/>
          <w:szCs w:val="15"/>
        </w:rPr>
        <w:t>会计利润</w:t>
      </w:r>
      <w:r>
        <w:rPr>
          <w:rFonts w:ascii="宋体" w:hAnsi="宋体" w:cs="宋体"/>
          <w:sz w:val="15"/>
          <w:szCs w:val="15"/>
        </w:rPr>
        <w:t>+</w:t>
      </w:r>
      <w:r>
        <w:rPr>
          <w:rFonts w:hint="eastAsia" w:ascii="宋体" w:hAnsi="宋体" w:cs="宋体"/>
          <w:sz w:val="15"/>
          <w:szCs w:val="15"/>
        </w:rPr>
        <w:t>按照会计准则规定计入利润表但计税时不充许税前扣除的费用</w:t>
      </w:r>
      <w:r>
        <w:rPr>
          <w:rFonts w:ascii="宋体" w:hAnsi="宋体" w:cs="宋体"/>
          <w:sz w:val="15"/>
          <w:szCs w:val="15"/>
        </w:rPr>
        <w:t>+</w:t>
      </w:r>
      <w:r>
        <w:rPr>
          <w:rFonts w:hint="eastAsia" w:ascii="宋体" w:hAnsi="宋体" w:cs="宋体"/>
          <w:sz w:val="15"/>
          <w:szCs w:val="15"/>
        </w:rPr>
        <w:t>（或</w:t>
      </w:r>
      <w:r>
        <w:rPr>
          <w:rFonts w:ascii="宋体" w:cs="宋体"/>
          <w:sz w:val="15"/>
          <w:szCs w:val="15"/>
        </w:rPr>
        <w:t>-</w:t>
      </w:r>
      <w:r>
        <w:rPr>
          <w:rFonts w:hint="eastAsia" w:ascii="宋体" w:hAnsi="宋体" w:cs="宋体"/>
          <w:sz w:val="15"/>
          <w:szCs w:val="15"/>
        </w:rPr>
        <w:t>）计入利润表的费用与按照税法规定可予税前扣除的费用金额之间的差额</w:t>
      </w:r>
      <w:r>
        <w:rPr>
          <w:rFonts w:ascii="宋体" w:hAnsi="宋体" w:cs="宋体"/>
          <w:sz w:val="15"/>
          <w:szCs w:val="15"/>
        </w:rPr>
        <w:t>+</w:t>
      </w:r>
      <w:r>
        <w:rPr>
          <w:rFonts w:hint="eastAsia" w:ascii="宋体" w:hAnsi="宋体" w:cs="宋体"/>
          <w:sz w:val="15"/>
          <w:szCs w:val="15"/>
        </w:rPr>
        <w:t>（或</w:t>
      </w:r>
      <w:r>
        <w:rPr>
          <w:rFonts w:ascii="宋体" w:cs="宋体"/>
          <w:sz w:val="15"/>
          <w:szCs w:val="15"/>
        </w:rPr>
        <w:t>-</w:t>
      </w:r>
      <w:r>
        <w:rPr>
          <w:rFonts w:hint="eastAsia" w:ascii="宋体" w:hAnsi="宋体" w:cs="宋体"/>
          <w:sz w:val="15"/>
          <w:szCs w:val="15"/>
        </w:rPr>
        <w:t>）计入利润表的收入与按照税法规定计入纳税所得的收入之间的差额</w:t>
      </w:r>
      <w:r>
        <w:rPr>
          <w:rFonts w:ascii="宋体" w:cs="宋体"/>
          <w:sz w:val="15"/>
          <w:szCs w:val="15"/>
        </w:rPr>
        <w:t>-</w:t>
      </w:r>
      <w:r>
        <w:rPr>
          <w:rFonts w:hint="eastAsia" w:ascii="宋体" w:hAnsi="宋体" w:cs="宋体"/>
          <w:sz w:val="15"/>
          <w:szCs w:val="15"/>
        </w:rPr>
        <w:t>税法规定不征税的收入</w:t>
      </w:r>
      <w:r>
        <w:rPr>
          <w:rFonts w:ascii="宋体" w:hAnsi="宋体" w:cs="宋体"/>
          <w:sz w:val="15"/>
          <w:szCs w:val="15"/>
        </w:rPr>
        <w:t>+</w:t>
      </w:r>
      <w:r>
        <w:rPr>
          <w:rFonts w:hint="eastAsia" w:ascii="宋体" w:hAnsi="宋体" w:cs="宋体"/>
          <w:sz w:val="15"/>
          <w:szCs w:val="15"/>
        </w:rPr>
        <w:t>（或</w:t>
      </w:r>
      <w:r>
        <w:rPr>
          <w:rFonts w:ascii="宋体" w:cs="宋体"/>
          <w:sz w:val="15"/>
          <w:szCs w:val="15"/>
        </w:rPr>
        <w:t>-</w:t>
      </w:r>
      <w:r>
        <w:rPr>
          <w:rFonts w:hint="eastAsia" w:ascii="宋体" w:hAnsi="宋体" w:cs="宋体"/>
          <w:sz w:val="15"/>
          <w:szCs w:val="15"/>
        </w:rPr>
        <w:t>）其他需要调整的因素。</w:t>
      </w:r>
    </w:p>
    <w:p>
      <w:pPr>
        <w:autoSpaceDN w:val="0"/>
        <w:spacing w:line="160" w:lineRule="exact"/>
        <w:rPr>
          <w:rFonts w:ascii="宋体" w:cs="宋体"/>
          <w:sz w:val="15"/>
          <w:szCs w:val="15"/>
        </w:rPr>
      </w:pPr>
      <w:r>
        <w:rPr>
          <w:rFonts w:hint="eastAsia" w:ascii="宋体" w:hAnsi="宋体" w:cs="宋体"/>
          <w:sz w:val="15"/>
          <w:szCs w:val="15"/>
        </w:rPr>
        <w:t>差异项目；</w:t>
      </w:r>
      <w:r>
        <w:rPr>
          <w:rFonts w:ascii="宋体" w:hAnsi="宋体" w:cs="宋体"/>
          <w:sz w:val="15"/>
          <w:szCs w:val="15"/>
        </w:rPr>
        <w:t>1</w:t>
      </w:r>
      <w:r>
        <w:rPr>
          <w:rFonts w:hint="eastAsia" w:ascii="宋体" w:hAnsi="宋体" w:cs="宋体"/>
          <w:sz w:val="15"/>
          <w:szCs w:val="15"/>
        </w:rPr>
        <w:t>企业购买国债的利息收入，</w:t>
      </w:r>
      <w:r>
        <w:rPr>
          <w:rFonts w:ascii="宋体" w:hAnsi="宋体" w:cs="宋体"/>
          <w:sz w:val="15"/>
          <w:szCs w:val="15"/>
        </w:rPr>
        <w:t>2</w:t>
      </w:r>
      <w:r>
        <w:rPr>
          <w:rFonts w:hint="eastAsia" w:ascii="宋体" w:hAnsi="宋体" w:cs="宋体"/>
          <w:sz w:val="15"/>
          <w:szCs w:val="15"/>
        </w:rPr>
        <w:t>企业的罚金、罚款的被没收财务的孙志以及税收滞纳金、非公益性捐款支出和赞助支出，</w:t>
      </w:r>
      <w:r>
        <w:rPr>
          <w:rFonts w:ascii="宋体" w:hAnsi="宋体" w:cs="宋体"/>
          <w:sz w:val="15"/>
          <w:szCs w:val="15"/>
        </w:rPr>
        <w:t>3</w:t>
      </w:r>
      <w:r>
        <w:rPr>
          <w:rFonts w:hint="eastAsia" w:ascii="宋体" w:hAnsi="宋体" w:cs="宋体"/>
          <w:sz w:val="15"/>
          <w:szCs w:val="15"/>
        </w:rPr>
        <w:t>企业从其关联方接受的债权性投资与权益性投资的比例超过规定标准而发生的利息支出</w:t>
      </w:r>
      <w:r>
        <w:rPr>
          <w:rFonts w:ascii="宋体" w:hAnsi="宋体" w:cs="宋体"/>
          <w:sz w:val="15"/>
          <w:szCs w:val="15"/>
        </w:rPr>
        <w:t>,4</w:t>
      </w:r>
      <w:r>
        <w:rPr>
          <w:rFonts w:hint="eastAsia" w:ascii="宋体" w:hAnsi="宋体" w:cs="宋体"/>
          <w:sz w:val="15"/>
          <w:szCs w:val="15"/>
        </w:rPr>
        <w:t>公益性捐赠支出按照</w:t>
      </w:r>
      <w:r>
        <w:rPr>
          <w:rFonts w:ascii="宋体" w:hAnsi="宋体" w:cs="宋体"/>
          <w:sz w:val="15"/>
          <w:szCs w:val="15"/>
        </w:rPr>
        <w:t>12%</w:t>
      </w:r>
      <w:r>
        <w:rPr>
          <w:rFonts w:hint="eastAsia" w:ascii="宋体" w:hAnsi="宋体" w:cs="宋体"/>
          <w:sz w:val="15"/>
          <w:szCs w:val="15"/>
        </w:rPr>
        <w:t>的税前扣除比列和我国目前企业公益性捐赠的一般水平，企业的公益性捐赠基本上可以在税前扣除</w:t>
      </w:r>
      <w:r>
        <w:rPr>
          <w:rFonts w:ascii="宋体" w:hAnsi="宋体" w:cs="宋体"/>
          <w:sz w:val="15"/>
          <w:szCs w:val="15"/>
        </w:rPr>
        <w:t>5</w:t>
      </w:r>
      <w:r>
        <w:rPr>
          <w:rFonts w:hint="eastAsia" w:ascii="宋体" w:hAnsi="宋体" w:cs="宋体"/>
          <w:sz w:val="15"/>
          <w:szCs w:val="15"/>
        </w:rPr>
        <w:t>非金融企业想非金融企业借款的利息支出，超过按照金融企业同期同类贷款利率计算的数额的部分</w:t>
      </w:r>
      <w:r>
        <w:rPr>
          <w:rFonts w:ascii="宋体" w:hAnsi="宋体" w:cs="宋体"/>
          <w:sz w:val="15"/>
          <w:szCs w:val="15"/>
        </w:rPr>
        <w:t>6</w:t>
      </w:r>
      <w:r>
        <w:rPr>
          <w:rFonts w:hint="eastAsia" w:ascii="宋体" w:hAnsi="宋体" w:cs="宋体"/>
          <w:sz w:val="15"/>
          <w:szCs w:val="15"/>
        </w:rPr>
        <w:t>企业发生的职工福利费支出和拨付的工会经费，分别超过工资薪金总额</w:t>
      </w:r>
      <w:r>
        <w:rPr>
          <w:rFonts w:ascii="宋体" w:hAnsi="宋体" w:cs="宋体"/>
          <w:sz w:val="15"/>
          <w:szCs w:val="15"/>
        </w:rPr>
        <w:t>14%</w:t>
      </w:r>
      <w:r>
        <w:rPr>
          <w:rFonts w:hint="eastAsia" w:ascii="宋体" w:hAnsi="宋体" w:cs="宋体"/>
          <w:sz w:val="15"/>
          <w:szCs w:val="15"/>
        </w:rPr>
        <w:t>和</w:t>
      </w:r>
      <w:r>
        <w:rPr>
          <w:rFonts w:ascii="宋体" w:hAnsi="宋体" w:cs="宋体"/>
          <w:sz w:val="15"/>
          <w:szCs w:val="15"/>
        </w:rPr>
        <w:t>12%</w:t>
      </w:r>
      <w:r>
        <w:rPr>
          <w:rFonts w:hint="eastAsia" w:ascii="宋体" w:hAnsi="宋体" w:cs="宋体"/>
          <w:sz w:val="15"/>
          <w:szCs w:val="15"/>
        </w:rPr>
        <w:t>的部分。会计上计入成本费用</w:t>
      </w:r>
      <w:r>
        <w:rPr>
          <w:rFonts w:ascii="宋体" w:hAnsi="宋体" w:cs="宋体"/>
          <w:sz w:val="15"/>
          <w:szCs w:val="15"/>
        </w:rPr>
        <w:t>7</w:t>
      </w:r>
      <w:r>
        <w:rPr>
          <w:rFonts w:hint="eastAsia" w:ascii="宋体" w:hAnsi="宋体" w:cs="宋体"/>
          <w:sz w:val="15"/>
          <w:szCs w:val="15"/>
        </w:rPr>
        <w:t>企业发生的职工教育经费支出</w:t>
      </w:r>
      <w:r>
        <w:rPr>
          <w:rFonts w:ascii="宋体" w:hAnsi="宋体" w:cs="宋体"/>
          <w:sz w:val="15"/>
          <w:szCs w:val="15"/>
        </w:rPr>
        <w:t>8</w:t>
      </w:r>
      <w:r>
        <w:rPr>
          <w:rFonts w:hint="eastAsia" w:ascii="宋体" w:hAnsi="宋体" w:cs="宋体"/>
          <w:sz w:val="15"/>
          <w:szCs w:val="15"/>
        </w:rPr>
        <w:t>企业发生的与生存经营活动有关的、超过发生额</w:t>
      </w:r>
      <w:r>
        <w:rPr>
          <w:rFonts w:ascii="宋体" w:hAnsi="宋体" w:cs="宋体"/>
          <w:sz w:val="15"/>
          <w:szCs w:val="15"/>
        </w:rPr>
        <w:t>60%</w:t>
      </w:r>
      <w:r>
        <w:rPr>
          <w:rFonts w:hint="eastAsia" w:ascii="宋体" w:hAnsi="宋体" w:cs="宋体"/>
          <w:sz w:val="15"/>
          <w:szCs w:val="15"/>
        </w:rPr>
        <w:t>的业务招待费支出（最高不得超过当年营业收入的</w:t>
      </w:r>
      <w:r>
        <w:rPr>
          <w:rFonts w:ascii="宋体" w:hAnsi="宋体" w:cs="宋体"/>
          <w:sz w:val="15"/>
          <w:szCs w:val="15"/>
        </w:rPr>
        <w:t>5%</w:t>
      </w:r>
      <w:r>
        <w:rPr>
          <w:rFonts w:hint="eastAsia" w:ascii="宋体" w:hAnsi="宋体" w:cs="宋体"/>
          <w:sz w:val="15"/>
          <w:szCs w:val="15"/>
        </w:rPr>
        <w:t>。</w:t>
      </w:r>
    </w:p>
    <w:p>
      <w:pPr>
        <w:autoSpaceDN w:val="0"/>
        <w:spacing w:line="160" w:lineRule="exact"/>
        <w:rPr>
          <w:rFonts w:ascii="宋体" w:cs="宋体"/>
          <w:sz w:val="15"/>
          <w:szCs w:val="15"/>
        </w:rPr>
      </w:pPr>
      <w:r>
        <w:rPr>
          <w:rFonts w:hint="eastAsia" w:ascii="宋体" w:hAnsi="宋体" w:cs="宋体"/>
          <w:b/>
          <w:sz w:val="15"/>
          <w:szCs w:val="15"/>
        </w:rPr>
        <w:t>递延所得税</w:t>
      </w:r>
      <w:r>
        <w:rPr>
          <w:rFonts w:hint="eastAsia" w:ascii="宋体" w:hAnsi="宋体" w:cs="宋体"/>
          <w:sz w:val="15"/>
          <w:szCs w:val="15"/>
        </w:rPr>
        <w:t>；是指按照所得税标准规定应予确认的递延所得税资产和递延所得税负债期未应有金额与原已确认金额之间的差额，即递延所得税资产和递延所得税负债当期发生额的综合结果。递延所得税</w:t>
      </w:r>
      <w:r>
        <w:rPr>
          <w:rFonts w:ascii="宋体" w:hAnsi="宋体" w:cs="宋体"/>
          <w:sz w:val="15"/>
          <w:szCs w:val="15"/>
        </w:rPr>
        <w:t>=</w:t>
      </w:r>
      <w:r>
        <w:rPr>
          <w:rFonts w:hint="eastAsia" w:ascii="宋体" w:hAnsi="宋体" w:cs="宋体"/>
          <w:sz w:val="15"/>
          <w:szCs w:val="15"/>
        </w:rPr>
        <w:t>（期末递延所得税负债余额</w:t>
      </w:r>
      <w:r>
        <w:rPr>
          <w:rFonts w:ascii="宋体" w:cs="宋体"/>
          <w:sz w:val="15"/>
          <w:szCs w:val="15"/>
        </w:rPr>
        <w:t>-</w:t>
      </w:r>
      <w:r>
        <w:rPr>
          <w:rFonts w:hint="eastAsia" w:ascii="宋体" w:hAnsi="宋体" w:cs="宋体"/>
          <w:sz w:val="15"/>
          <w:szCs w:val="15"/>
        </w:rPr>
        <w:t>期初递延所得税负债余额）</w:t>
      </w:r>
      <w:r>
        <w:rPr>
          <w:rFonts w:ascii="宋体" w:cs="宋体"/>
          <w:sz w:val="15"/>
          <w:szCs w:val="15"/>
        </w:rPr>
        <w:t>-</w:t>
      </w:r>
      <w:r>
        <w:rPr>
          <w:rFonts w:hint="eastAsia" w:ascii="宋体" w:hAnsi="宋体" w:cs="宋体"/>
          <w:sz w:val="15"/>
          <w:szCs w:val="15"/>
        </w:rPr>
        <w:t>（期末递延所得税资产余额</w:t>
      </w:r>
      <w:r>
        <w:rPr>
          <w:rFonts w:ascii="宋体" w:cs="宋体"/>
          <w:sz w:val="15"/>
          <w:szCs w:val="15"/>
        </w:rPr>
        <w:t>-</w:t>
      </w:r>
      <w:r>
        <w:rPr>
          <w:rFonts w:hint="eastAsia" w:ascii="宋体" w:hAnsi="宋体" w:cs="宋体"/>
          <w:sz w:val="15"/>
          <w:szCs w:val="15"/>
        </w:rPr>
        <w:t>期初递延所得税资产余额）</w:t>
      </w:r>
      <w:r>
        <w:rPr>
          <w:rFonts w:ascii="宋体" w:hAnsi="宋体" w:cs="宋体"/>
          <w:sz w:val="15"/>
          <w:szCs w:val="15"/>
        </w:rPr>
        <w:t>=</w:t>
      </w:r>
      <w:r>
        <w:rPr>
          <w:rFonts w:hint="eastAsia" w:ascii="宋体" w:hAnsi="宋体" w:cs="宋体"/>
          <w:sz w:val="15"/>
          <w:szCs w:val="15"/>
        </w:rPr>
        <w:t>当期递延所得税负债增加额</w:t>
      </w:r>
      <w:r>
        <w:rPr>
          <w:rFonts w:ascii="宋体" w:cs="宋体"/>
          <w:sz w:val="15"/>
          <w:szCs w:val="15"/>
        </w:rPr>
        <w:t>-</w:t>
      </w:r>
      <w:r>
        <w:rPr>
          <w:rFonts w:hint="eastAsia" w:ascii="宋体" w:hAnsi="宋体" w:cs="宋体"/>
          <w:sz w:val="15"/>
          <w:szCs w:val="15"/>
        </w:rPr>
        <w:t>当期递延所得税资产增加额。运用上述计算公式时，‘递延所得税资产’和‘递延所得税负债’账户余额应为扣除直接计入所有者权益、商誉以及营业外收入后递延所得税资产和递延所得税负债金额。</w:t>
      </w:r>
    </w:p>
    <w:p>
      <w:pPr>
        <w:autoSpaceDN w:val="0"/>
        <w:spacing w:line="160" w:lineRule="exact"/>
        <w:rPr>
          <w:rFonts w:ascii="宋体" w:cs="宋体"/>
          <w:sz w:val="15"/>
          <w:szCs w:val="15"/>
        </w:rPr>
      </w:pPr>
      <w:r>
        <w:rPr>
          <w:rFonts w:hint="eastAsia" w:ascii="宋体" w:hAnsi="宋体" w:cs="宋体"/>
          <w:sz w:val="15"/>
          <w:szCs w:val="15"/>
        </w:rPr>
        <w:t>企业的本期所得税费用由当期所得税和递延所得税构成。本期所得税费用</w:t>
      </w:r>
      <w:r>
        <w:rPr>
          <w:rFonts w:ascii="宋体" w:hAnsi="宋体" w:cs="宋体"/>
          <w:sz w:val="15"/>
          <w:szCs w:val="15"/>
        </w:rPr>
        <w:t>=</w:t>
      </w:r>
      <w:r>
        <w:rPr>
          <w:rFonts w:hint="eastAsia" w:ascii="宋体" w:hAnsi="宋体" w:cs="宋体"/>
          <w:sz w:val="15"/>
          <w:szCs w:val="15"/>
        </w:rPr>
        <w:t>当期所得税</w:t>
      </w:r>
      <w:r>
        <w:rPr>
          <w:rFonts w:ascii="宋体" w:hAnsi="宋体" w:cs="宋体"/>
          <w:sz w:val="15"/>
          <w:szCs w:val="15"/>
        </w:rPr>
        <w:t>+</w:t>
      </w:r>
      <w:r>
        <w:rPr>
          <w:rFonts w:hint="eastAsia" w:ascii="宋体" w:hAnsi="宋体" w:cs="宋体"/>
          <w:sz w:val="15"/>
          <w:szCs w:val="15"/>
        </w:rPr>
        <w:t>递延所得税。</w:t>
      </w:r>
    </w:p>
    <w:p>
      <w:pPr>
        <w:autoSpaceDN w:val="0"/>
        <w:spacing w:line="160" w:lineRule="exact"/>
        <w:rPr>
          <w:rFonts w:ascii="宋体" w:cs="宋体"/>
          <w:sz w:val="15"/>
          <w:szCs w:val="15"/>
        </w:rPr>
      </w:pPr>
      <w:r>
        <w:rPr>
          <w:rFonts w:ascii="宋体" w:hAnsi="宋体" w:cs="宋体"/>
          <w:sz w:val="15"/>
          <w:szCs w:val="15"/>
        </w:rPr>
        <w:t xml:space="preserve">  </w:t>
      </w:r>
      <w:r>
        <w:rPr>
          <w:rFonts w:hint="eastAsia" w:ascii="宋体" w:hAnsi="宋体" w:cs="宋体"/>
          <w:sz w:val="15"/>
          <w:szCs w:val="15"/>
        </w:rPr>
        <w:t>借；所得税费用</w:t>
      </w:r>
      <w:r>
        <w:rPr>
          <w:rFonts w:ascii="宋体" w:hAnsi="宋体" w:cs="宋体"/>
          <w:sz w:val="15"/>
          <w:szCs w:val="15"/>
        </w:rPr>
        <w:t>—</w:t>
      </w:r>
      <w:r>
        <w:rPr>
          <w:rFonts w:hint="eastAsia" w:ascii="宋体" w:hAnsi="宋体" w:cs="宋体"/>
          <w:sz w:val="15"/>
          <w:szCs w:val="15"/>
        </w:rPr>
        <w:t>当期所得税费用</w:t>
      </w:r>
    </w:p>
    <w:p>
      <w:pPr>
        <w:autoSpaceDN w:val="0"/>
        <w:spacing w:line="160" w:lineRule="exact"/>
        <w:rPr>
          <w:rFonts w:ascii="宋体" w:cs="宋体"/>
          <w:sz w:val="15"/>
          <w:szCs w:val="15"/>
        </w:rPr>
      </w:pPr>
      <w:r>
        <w:rPr>
          <w:rFonts w:ascii="宋体" w:hAnsi="宋体" w:cs="宋体"/>
          <w:sz w:val="15"/>
          <w:szCs w:val="15"/>
        </w:rPr>
        <w:t xml:space="preserve">                —</w:t>
      </w:r>
      <w:r>
        <w:rPr>
          <w:rFonts w:hint="eastAsia" w:ascii="宋体" w:hAnsi="宋体" w:cs="宋体"/>
          <w:sz w:val="15"/>
          <w:szCs w:val="15"/>
        </w:rPr>
        <w:t>递延所得税费用</w:t>
      </w:r>
    </w:p>
    <w:p>
      <w:pPr>
        <w:autoSpaceDN w:val="0"/>
        <w:spacing w:line="160" w:lineRule="exact"/>
        <w:rPr>
          <w:rFonts w:ascii="宋体" w:cs="宋体"/>
          <w:sz w:val="15"/>
          <w:szCs w:val="15"/>
        </w:rPr>
      </w:pPr>
    </w:p>
    <w:p>
      <w:pPr>
        <w:autoSpaceDN w:val="0"/>
        <w:spacing w:line="160" w:lineRule="exact"/>
        <w:rPr>
          <w:rFonts w:ascii="宋体" w:cs="宋体"/>
          <w:sz w:val="15"/>
          <w:szCs w:val="15"/>
        </w:rPr>
      </w:pPr>
      <w:r>
        <w:rPr>
          <w:rFonts w:ascii="宋体" w:hAnsi="宋体" w:cs="宋体"/>
          <w:sz w:val="15"/>
          <w:szCs w:val="15"/>
        </w:rPr>
        <w:t xml:space="preserve">  </w:t>
      </w:r>
      <w:r>
        <w:rPr>
          <w:rFonts w:hint="eastAsia" w:ascii="宋体" w:hAnsi="宋体" w:cs="宋体"/>
          <w:sz w:val="15"/>
          <w:szCs w:val="15"/>
        </w:rPr>
        <w:t>贷；应交税费</w:t>
      </w:r>
      <w:r>
        <w:rPr>
          <w:rFonts w:ascii="宋体" w:hAnsi="宋体" w:cs="宋体"/>
          <w:sz w:val="15"/>
          <w:szCs w:val="15"/>
        </w:rPr>
        <w:t>—</w:t>
      </w:r>
      <w:r>
        <w:rPr>
          <w:rFonts w:hint="eastAsia" w:ascii="宋体" w:hAnsi="宋体" w:cs="宋体"/>
          <w:sz w:val="15"/>
          <w:szCs w:val="15"/>
        </w:rPr>
        <w:t>应交所得税</w:t>
      </w:r>
    </w:p>
    <w:p>
      <w:pPr>
        <w:autoSpaceDN w:val="0"/>
        <w:spacing w:line="160" w:lineRule="exact"/>
        <w:rPr>
          <w:rFonts w:ascii="宋体" w:cs="宋体"/>
          <w:sz w:val="15"/>
          <w:szCs w:val="15"/>
        </w:rPr>
      </w:pPr>
      <w:r>
        <w:rPr>
          <w:rFonts w:ascii="宋体" w:hAnsi="宋体" w:cs="宋体"/>
          <w:sz w:val="15"/>
          <w:szCs w:val="15"/>
        </w:rPr>
        <w:t xml:space="preserve">       </w:t>
      </w:r>
      <w:r>
        <w:rPr>
          <w:rFonts w:hint="eastAsia" w:ascii="宋体" w:hAnsi="宋体" w:cs="宋体"/>
          <w:sz w:val="15"/>
          <w:szCs w:val="15"/>
        </w:rPr>
        <w:t>递延所得税资产</w:t>
      </w:r>
    </w:p>
    <w:p>
      <w:pPr>
        <w:autoSpaceDN w:val="0"/>
        <w:spacing w:line="160" w:lineRule="exact"/>
        <w:rPr>
          <w:rFonts w:ascii="宋体" w:cs="宋体"/>
          <w:sz w:val="15"/>
          <w:szCs w:val="15"/>
        </w:rPr>
      </w:pPr>
      <w:r>
        <w:rPr>
          <w:rFonts w:ascii="宋体" w:hAnsi="宋体" w:cs="宋体"/>
          <w:sz w:val="15"/>
          <w:szCs w:val="15"/>
        </w:rPr>
        <w:t xml:space="preserve">        </w:t>
      </w:r>
      <w:r>
        <w:rPr>
          <w:rFonts w:hint="eastAsia" w:ascii="宋体" w:hAnsi="宋体" w:cs="宋体"/>
          <w:sz w:val="15"/>
          <w:szCs w:val="15"/>
        </w:rPr>
        <w:t>递延所得税负债</w:t>
      </w:r>
    </w:p>
    <w:p>
      <w:pPr>
        <w:autoSpaceDN w:val="0"/>
        <w:spacing w:line="160" w:lineRule="exact"/>
        <w:rPr>
          <w:rFonts w:ascii="宋体" w:cs="宋体"/>
          <w:sz w:val="15"/>
          <w:szCs w:val="15"/>
        </w:rPr>
      </w:pPr>
      <w:r>
        <w:rPr>
          <w:rFonts w:hint="eastAsia" w:ascii="宋体" w:hAnsi="宋体" w:cs="宋体"/>
          <w:b/>
          <w:bCs/>
          <w:sz w:val="15"/>
          <w:szCs w:val="15"/>
        </w:rPr>
        <w:t>股份公司</w:t>
      </w:r>
      <w:r>
        <w:rPr>
          <w:rFonts w:hint="eastAsia" w:ascii="宋体" w:hAnsi="宋体" w:cs="宋体"/>
          <w:sz w:val="15"/>
          <w:szCs w:val="15"/>
        </w:rPr>
        <w:t>；亦称股份制企业，是指以股份制形式机子组成依法设立的企业法人组织</w:t>
      </w:r>
      <w:r>
        <w:rPr>
          <w:rFonts w:ascii="宋体" w:cs="宋体"/>
          <w:sz w:val="15"/>
          <w:szCs w:val="15"/>
        </w:rPr>
        <w:t>.</w:t>
      </w:r>
    </w:p>
    <w:p>
      <w:pPr>
        <w:autoSpaceDN w:val="0"/>
        <w:spacing w:line="160" w:lineRule="exact"/>
        <w:rPr>
          <w:rFonts w:ascii="宋体" w:cs="宋体"/>
          <w:sz w:val="15"/>
          <w:szCs w:val="15"/>
        </w:rPr>
      </w:pPr>
      <w:r>
        <w:rPr>
          <w:rFonts w:hint="eastAsia" w:ascii="宋体" w:hAnsi="宋体" w:cs="宋体"/>
          <w:b/>
          <w:bCs/>
          <w:sz w:val="15"/>
          <w:szCs w:val="15"/>
        </w:rPr>
        <w:t>股份公司主要有</w:t>
      </w:r>
      <w:r>
        <w:rPr>
          <w:rFonts w:hint="eastAsia" w:ascii="宋体" w:hAnsi="宋体" w:cs="宋体"/>
          <w:sz w:val="15"/>
          <w:szCs w:val="15"/>
        </w:rPr>
        <w:t>；股份有限公司和有限责任公司，</w:t>
      </w:r>
    </w:p>
    <w:p>
      <w:pPr>
        <w:autoSpaceDN w:val="0"/>
        <w:spacing w:line="160" w:lineRule="exact"/>
        <w:rPr>
          <w:rFonts w:ascii="宋体" w:cs="宋体"/>
          <w:sz w:val="15"/>
          <w:szCs w:val="15"/>
        </w:rPr>
      </w:pPr>
      <w:r>
        <w:rPr>
          <w:rFonts w:hint="eastAsia" w:ascii="宋体" w:hAnsi="宋体" w:cs="宋体"/>
          <w:b/>
          <w:bCs/>
          <w:sz w:val="15"/>
          <w:szCs w:val="15"/>
        </w:rPr>
        <w:t>股份有限公司</w:t>
      </w:r>
      <w:r>
        <w:rPr>
          <w:rFonts w:hint="eastAsia" w:ascii="宋体" w:hAnsi="宋体" w:cs="宋体"/>
          <w:sz w:val="15"/>
          <w:szCs w:val="15"/>
        </w:rPr>
        <w:t>是指其全部资本为等额股份，通过发行投票募集资本，股东以其认购的股份为限对公司承担责任，公司以其全部资产对公司的债务承担责任的法人组织。</w:t>
      </w:r>
    </w:p>
    <w:p>
      <w:pPr>
        <w:autoSpaceDN w:val="0"/>
        <w:spacing w:line="160" w:lineRule="exact"/>
        <w:rPr>
          <w:rFonts w:ascii="宋体" w:cs="宋体"/>
          <w:sz w:val="15"/>
          <w:szCs w:val="15"/>
        </w:rPr>
      </w:pPr>
      <w:r>
        <w:rPr>
          <w:rFonts w:hint="eastAsia" w:ascii="宋体" w:hAnsi="宋体" w:cs="宋体"/>
          <w:b/>
          <w:bCs/>
          <w:sz w:val="15"/>
          <w:szCs w:val="15"/>
        </w:rPr>
        <w:t>责任有限公司：</w:t>
      </w:r>
      <w:r>
        <w:rPr>
          <w:rFonts w:hint="eastAsia" w:ascii="宋体" w:hAnsi="宋体" w:cs="宋体"/>
          <w:sz w:val="15"/>
          <w:szCs w:val="15"/>
        </w:rPr>
        <w:t>有是指有两个以上的股东共同出资，股东以其认缴的出资额为限对公司承担责任，公司以其全部资产对公司债务承担责任的法人组织。</w:t>
      </w:r>
    </w:p>
    <w:p>
      <w:pPr>
        <w:autoSpaceDN w:val="0"/>
        <w:spacing w:line="160" w:lineRule="exact"/>
        <w:rPr>
          <w:rFonts w:ascii="宋体" w:cs="宋体"/>
          <w:sz w:val="15"/>
          <w:szCs w:val="15"/>
        </w:rPr>
      </w:pPr>
      <w:r>
        <w:rPr>
          <w:rFonts w:hint="eastAsia" w:ascii="宋体" w:hAnsi="宋体" w:cs="宋体"/>
          <w:b/>
          <w:bCs/>
          <w:sz w:val="15"/>
          <w:szCs w:val="15"/>
        </w:rPr>
        <w:t>上市公司：</w:t>
      </w:r>
      <w:r>
        <w:rPr>
          <w:rFonts w:hint="eastAsia" w:ascii="宋体" w:hAnsi="宋体" w:cs="宋体"/>
          <w:sz w:val="15"/>
          <w:szCs w:val="15"/>
        </w:rPr>
        <w:t>是指其投票在整卷交易所挂牌交易的股份有限公司。</w:t>
      </w:r>
    </w:p>
    <w:p>
      <w:pPr>
        <w:autoSpaceDN w:val="0"/>
        <w:spacing w:line="160" w:lineRule="exact"/>
        <w:rPr>
          <w:rFonts w:ascii="宋体" w:cs="宋体"/>
          <w:sz w:val="15"/>
          <w:szCs w:val="15"/>
        </w:rPr>
      </w:pPr>
      <w:r>
        <w:rPr>
          <w:rFonts w:hint="eastAsia" w:ascii="宋体" w:hAnsi="宋体" w:cs="宋体"/>
          <w:b/>
          <w:bCs/>
          <w:sz w:val="15"/>
          <w:szCs w:val="15"/>
        </w:rPr>
        <w:t>上市公司应当符合下列条件</w:t>
      </w:r>
      <w:r>
        <w:rPr>
          <w:rFonts w:ascii="宋体" w:hAnsi="宋体" w:cs="宋体"/>
          <w:sz w:val="15"/>
          <w:szCs w:val="15"/>
        </w:rPr>
        <w:t>1</w:t>
      </w:r>
      <w:r>
        <w:rPr>
          <w:rFonts w:hint="eastAsia" w:ascii="宋体" w:hAnsi="宋体" w:cs="宋体"/>
          <w:sz w:val="15"/>
          <w:szCs w:val="15"/>
        </w:rPr>
        <w:t>投票经国务院证劵监督管理机构核准已公开发行</w:t>
      </w:r>
      <w:r>
        <w:rPr>
          <w:rFonts w:ascii="宋体" w:hAnsi="宋体" w:cs="宋体"/>
          <w:sz w:val="15"/>
          <w:szCs w:val="15"/>
        </w:rPr>
        <w:t>2</w:t>
      </w:r>
      <w:r>
        <w:rPr>
          <w:rFonts w:hint="eastAsia" w:ascii="宋体" w:hAnsi="宋体" w:cs="宋体"/>
          <w:sz w:val="15"/>
          <w:szCs w:val="15"/>
        </w:rPr>
        <w:t>公司股本总额不少于人民币</w:t>
      </w:r>
      <w:r>
        <w:rPr>
          <w:rFonts w:ascii="宋体" w:hAnsi="宋体" w:cs="宋体"/>
          <w:sz w:val="15"/>
          <w:szCs w:val="15"/>
        </w:rPr>
        <w:t>3000</w:t>
      </w:r>
      <w:r>
        <w:rPr>
          <w:rFonts w:hint="eastAsia" w:ascii="宋体" w:hAnsi="宋体" w:cs="宋体"/>
          <w:sz w:val="15"/>
          <w:szCs w:val="15"/>
        </w:rPr>
        <w:t>万元</w:t>
      </w:r>
      <w:r>
        <w:rPr>
          <w:rFonts w:ascii="宋体" w:hAnsi="宋体" w:cs="宋体"/>
          <w:sz w:val="15"/>
          <w:szCs w:val="15"/>
        </w:rPr>
        <w:t>3</w:t>
      </w:r>
      <w:r>
        <w:rPr>
          <w:rFonts w:hint="eastAsia" w:ascii="宋体" w:hAnsi="宋体" w:cs="宋体"/>
          <w:sz w:val="15"/>
          <w:szCs w:val="15"/>
        </w:rPr>
        <w:t>公开发行的股份达到公司股份钟书的</w:t>
      </w:r>
      <w:r>
        <w:rPr>
          <w:rFonts w:ascii="宋体" w:hAnsi="宋体" w:cs="宋体"/>
          <w:sz w:val="15"/>
          <w:szCs w:val="15"/>
        </w:rPr>
        <w:t>25%</w:t>
      </w:r>
      <w:r>
        <w:rPr>
          <w:rFonts w:hint="eastAsia" w:ascii="宋体" w:hAnsi="宋体" w:cs="宋体"/>
          <w:sz w:val="15"/>
          <w:szCs w:val="15"/>
        </w:rPr>
        <w:t>以上；公司股本总额超过人民币</w:t>
      </w:r>
      <w:r>
        <w:rPr>
          <w:rFonts w:ascii="宋体" w:hAnsi="宋体" w:cs="宋体"/>
          <w:sz w:val="15"/>
          <w:szCs w:val="15"/>
        </w:rPr>
        <w:t>4</w:t>
      </w:r>
      <w:r>
        <w:rPr>
          <w:rFonts w:hint="eastAsia" w:ascii="宋体" w:hAnsi="宋体" w:cs="宋体"/>
          <w:sz w:val="15"/>
          <w:szCs w:val="15"/>
        </w:rPr>
        <w:t>亿元的，公开发行股份的比例为</w:t>
      </w:r>
      <w:r>
        <w:rPr>
          <w:rFonts w:ascii="宋体" w:hAnsi="宋体" w:cs="宋体"/>
          <w:sz w:val="15"/>
          <w:szCs w:val="15"/>
        </w:rPr>
        <w:t>10%</w:t>
      </w:r>
      <w:r>
        <w:rPr>
          <w:rFonts w:hint="eastAsia" w:ascii="宋体" w:hAnsi="宋体" w:cs="宋体"/>
          <w:sz w:val="15"/>
          <w:szCs w:val="15"/>
        </w:rPr>
        <w:t>以上</w:t>
      </w:r>
      <w:r>
        <w:rPr>
          <w:rFonts w:ascii="宋体" w:hAnsi="宋体" w:cs="宋体"/>
          <w:sz w:val="15"/>
          <w:szCs w:val="15"/>
        </w:rPr>
        <w:t>4</w:t>
      </w:r>
      <w:r>
        <w:rPr>
          <w:rFonts w:hint="eastAsia" w:ascii="宋体" w:hAnsi="宋体" w:cs="宋体"/>
          <w:sz w:val="15"/>
          <w:szCs w:val="15"/>
        </w:rPr>
        <w:t>公司最近</w:t>
      </w:r>
      <w:r>
        <w:rPr>
          <w:rFonts w:ascii="宋体" w:hAnsi="宋体" w:cs="宋体"/>
          <w:sz w:val="15"/>
          <w:szCs w:val="15"/>
        </w:rPr>
        <w:t>3</w:t>
      </w:r>
      <w:r>
        <w:rPr>
          <w:rFonts w:hint="eastAsia" w:ascii="宋体" w:hAnsi="宋体" w:cs="宋体"/>
          <w:sz w:val="15"/>
          <w:szCs w:val="15"/>
        </w:rPr>
        <w:t>年无重大违法行为，财务会计报告无需假记载。</w:t>
      </w:r>
    </w:p>
    <w:p>
      <w:pPr>
        <w:autoSpaceDN w:val="0"/>
        <w:spacing w:line="160" w:lineRule="exact"/>
        <w:rPr>
          <w:rFonts w:ascii="宋体" w:cs="宋体"/>
          <w:sz w:val="15"/>
          <w:szCs w:val="15"/>
        </w:rPr>
      </w:pPr>
      <w:r>
        <w:rPr>
          <w:rFonts w:hint="eastAsia" w:ascii="宋体" w:hAnsi="宋体" w:cs="宋体"/>
          <w:b/>
          <w:bCs/>
          <w:sz w:val="15"/>
          <w:szCs w:val="15"/>
        </w:rPr>
        <w:t>招股说明</w:t>
      </w:r>
      <w:r>
        <w:rPr>
          <w:rFonts w:hint="eastAsia" w:ascii="宋体" w:hAnsi="宋体" w:cs="宋体"/>
          <w:sz w:val="15"/>
          <w:szCs w:val="15"/>
        </w:rPr>
        <w:t>是股份有限公司在公开发行股票时按规定向社会公众披露公司有关信息的书面报告。</w:t>
      </w:r>
    </w:p>
    <w:p>
      <w:pPr>
        <w:autoSpaceDN w:val="0"/>
        <w:spacing w:line="160" w:lineRule="exact"/>
        <w:rPr>
          <w:rFonts w:ascii="宋体" w:cs="宋体"/>
          <w:sz w:val="15"/>
          <w:szCs w:val="15"/>
        </w:rPr>
      </w:pPr>
      <w:r>
        <w:rPr>
          <w:rFonts w:hint="eastAsia" w:ascii="宋体" w:hAnsi="宋体" w:cs="宋体"/>
          <w:b/>
          <w:bCs/>
          <w:sz w:val="15"/>
          <w:szCs w:val="15"/>
        </w:rPr>
        <w:t>上市公告</w:t>
      </w:r>
      <w:r>
        <w:rPr>
          <w:rFonts w:hint="eastAsia" w:ascii="宋体" w:hAnsi="宋体" w:cs="宋体"/>
          <w:sz w:val="15"/>
          <w:szCs w:val="15"/>
        </w:rPr>
        <w:t>书是指股份有限公司投票获准在证劵交易所交易后，其管理当局向社会公众披露有关股票上市情况信息的出面报告。</w:t>
      </w:r>
    </w:p>
    <w:p>
      <w:pPr>
        <w:autoSpaceDN w:val="0"/>
        <w:spacing w:line="160" w:lineRule="exact"/>
        <w:rPr>
          <w:rFonts w:ascii="宋体" w:cs="宋体"/>
          <w:sz w:val="15"/>
          <w:szCs w:val="15"/>
        </w:rPr>
      </w:pPr>
      <w:r>
        <w:rPr>
          <w:rFonts w:hint="eastAsia" w:ascii="宋体" w:hAnsi="宋体" w:cs="宋体"/>
          <w:b/>
          <w:bCs/>
          <w:sz w:val="15"/>
          <w:szCs w:val="15"/>
        </w:rPr>
        <w:t>定期报告；</w:t>
      </w:r>
      <w:r>
        <w:rPr>
          <w:rFonts w:hint="eastAsia" w:ascii="宋体" w:hAnsi="宋体" w:cs="宋体"/>
          <w:sz w:val="15"/>
          <w:szCs w:val="15"/>
        </w:rPr>
        <w:t>包括年度博爱高、中期报告和季度报告、其中的年度财务报告必须经注册会计师审计。</w:t>
      </w:r>
    </w:p>
    <w:p>
      <w:pPr>
        <w:autoSpaceDN w:val="0"/>
        <w:spacing w:line="160" w:lineRule="exact"/>
        <w:rPr>
          <w:rFonts w:ascii="宋体" w:cs="宋体"/>
          <w:sz w:val="15"/>
          <w:szCs w:val="15"/>
        </w:rPr>
      </w:pPr>
      <w:r>
        <w:rPr>
          <w:rFonts w:hint="eastAsia" w:ascii="宋体" w:hAnsi="宋体" w:cs="宋体"/>
          <w:b/>
          <w:bCs/>
          <w:sz w:val="15"/>
          <w:szCs w:val="15"/>
        </w:rPr>
        <w:t>临时报告主要包括</w:t>
      </w:r>
      <w:r>
        <w:rPr>
          <w:rFonts w:hint="eastAsia" w:ascii="宋体" w:hAnsi="宋体" w:cs="宋体"/>
          <w:sz w:val="15"/>
          <w:szCs w:val="15"/>
        </w:rPr>
        <w:t>重大事件报告和公司收购报告。</w:t>
      </w:r>
    </w:p>
    <w:p>
      <w:pPr>
        <w:autoSpaceDN w:val="0"/>
        <w:spacing w:line="160" w:lineRule="exact"/>
        <w:rPr>
          <w:rFonts w:ascii="宋体" w:cs="宋体"/>
          <w:sz w:val="15"/>
          <w:szCs w:val="15"/>
        </w:rPr>
      </w:pPr>
      <w:r>
        <w:rPr>
          <w:rFonts w:hint="eastAsia" w:ascii="宋体" w:hAnsi="宋体" w:cs="宋体"/>
          <w:b/>
          <w:sz w:val="15"/>
          <w:szCs w:val="15"/>
        </w:rPr>
        <w:t>分部报告有两种类型</w:t>
      </w:r>
      <w:r>
        <w:rPr>
          <w:rFonts w:hint="eastAsia" w:ascii="宋体" w:hAnsi="宋体" w:cs="宋体"/>
          <w:sz w:val="15"/>
          <w:szCs w:val="15"/>
        </w:rPr>
        <w:t>，一种是按经营业务不同性质编制的分部报告，称为业务分部报告；另一种是按经营业务的地城范围编制的分部报告，称为地区分部报告。</w:t>
      </w:r>
    </w:p>
    <w:p>
      <w:pPr>
        <w:autoSpaceDN w:val="0"/>
        <w:spacing w:line="160" w:lineRule="exact"/>
        <w:rPr>
          <w:rFonts w:ascii="宋体" w:cs="宋体"/>
          <w:sz w:val="15"/>
          <w:szCs w:val="15"/>
        </w:rPr>
      </w:pPr>
      <w:r>
        <w:rPr>
          <w:rFonts w:hint="eastAsia" w:ascii="宋体" w:hAnsi="宋体" w:cs="宋体"/>
          <w:b/>
          <w:bCs/>
          <w:sz w:val="15"/>
          <w:szCs w:val="15"/>
        </w:rPr>
        <w:t>什么事分部报告？分部报告包括哪几种类型？简答；</w:t>
      </w:r>
      <w:r>
        <w:rPr>
          <w:rFonts w:hint="eastAsia" w:ascii="宋体" w:hAnsi="宋体" w:cs="宋体"/>
          <w:sz w:val="15"/>
          <w:szCs w:val="15"/>
        </w:rPr>
        <w:t>分部报告是跨行业、跨地区经营的企业，按其确定的企业内部组成部分（业务分部或地区分部）编报的有关各组成部分收入、费用、利润、资产、负债等信息的财务报告。</w:t>
      </w:r>
    </w:p>
    <w:p>
      <w:pPr>
        <w:autoSpaceDN w:val="0"/>
        <w:spacing w:line="160" w:lineRule="exact"/>
        <w:rPr>
          <w:rFonts w:ascii="宋体" w:cs="宋体"/>
          <w:sz w:val="15"/>
          <w:szCs w:val="15"/>
        </w:rPr>
      </w:pPr>
      <w:r>
        <w:rPr>
          <w:rFonts w:hint="eastAsia" w:ascii="宋体" w:hAnsi="宋体" w:cs="宋体"/>
          <w:b/>
          <w:sz w:val="15"/>
          <w:szCs w:val="15"/>
        </w:rPr>
        <w:t>分部的概念是指</w:t>
      </w:r>
      <w:r>
        <w:rPr>
          <w:rFonts w:hint="eastAsia" w:ascii="宋体" w:hAnsi="宋体" w:cs="宋体"/>
          <w:sz w:val="15"/>
          <w:szCs w:val="15"/>
        </w:rPr>
        <w:t>企业内部可区分的、承担不同于其他组成部分风险和报酬的组成部分。</w:t>
      </w:r>
    </w:p>
    <w:p>
      <w:pPr>
        <w:autoSpaceDN w:val="0"/>
        <w:spacing w:line="160" w:lineRule="exact"/>
        <w:rPr>
          <w:rFonts w:ascii="宋体" w:cs="宋体"/>
          <w:sz w:val="15"/>
          <w:szCs w:val="15"/>
        </w:rPr>
      </w:pPr>
      <w:r>
        <w:rPr>
          <w:rFonts w:hint="eastAsia" w:ascii="宋体" w:hAnsi="宋体" w:cs="宋体"/>
          <w:b/>
          <w:bCs/>
          <w:sz w:val="15"/>
          <w:szCs w:val="15"/>
        </w:rPr>
        <w:t>分部包括</w:t>
      </w:r>
      <w:r>
        <w:rPr>
          <w:rFonts w:hint="eastAsia" w:ascii="宋体" w:hAnsi="宋体" w:cs="宋体"/>
          <w:sz w:val="15"/>
          <w:szCs w:val="15"/>
        </w:rPr>
        <w:t>业务分部和地区分部，</w:t>
      </w:r>
    </w:p>
    <w:p>
      <w:pPr>
        <w:autoSpaceDN w:val="0"/>
        <w:spacing w:line="160" w:lineRule="exact"/>
        <w:rPr>
          <w:rFonts w:ascii="宋体" w:cs="宋体"/>
          <w:sz w:val="15"/>
          <w:szCs w:val="15"/>
        </w:rPr>
      </w:pPr>
      <w:r>
        <w:rPr>
          <w:rFonts w:hint="eastAsia" w:ascii="宋体" w:hAnsi="宋体" w:cs="宋体"/>
          <w:b/>
          <w:bCs/>
          <w:sz w:val="15"/>
          <w:szCs w:val="15"/>
        </w:rPr>
        <w:t>业务分部</w:t>
      </w:r>
      <w:r>
        <w:rPr>
          <w:rFonts w:hint="eastAsia" w:ascii="宋体" w:hAnsi="宋体" w:cs="宋体"/>
          <w:sz w:val="15"/>
          <w:szCs w:val="15"/>
        </w:rPr>
        <w:t>是指企业内部可区分的、能够提供单项或一组相关产品或劳务的组成部分。</w:t>
      </w:r>
    </w:p>
    <w:p>
      <w:pPr>
        <w:autoSpaceDN w:val="0"/>
        <w:spacing w:line="160" w:lineRule="exact"/>
        <w:rPr>
          <w:rFonts w:ascii="宋体" w:cs="宋体"/>
          <w:sz w:val="15"/>
          <w:szCs w:val="15"/>
        </w:rPr>
      </w:pPr>
      <w:r>
        <w:rPr>
          <w:rFonts w:hint="eastAsia" w:ascii="宋体" w:hAnsi="宋体" w:cs="宋体"/>
          <w:b/>
          <w:bCs/>
          <w:sz w:val="15"/>
          <w:szCs w:val="15"/>
        </w:rPr>
        <w:t>确认分布应考虑的因素</w:t>
      </w:r>
      <w:r>
        <w:rPr>
          <w:rFonts w:ascii="宋体" w:hAnsi="宋体" w:cs="宋体"/>
          <w:sz w:val="15"/>
          <w:szCs w:val="15"/>
        </w:rPr>
        <w:t>1</w:t>
      </w:r>
      <w:r>
        <w:rPr>
          <w:rFonts w:hint="eastAsia" w:ascii="宋体" w:hAnsi="宋体" w:cs="宋体"/>
          <w:sz w:val="15"/>
          <w:szCs w:val="15"/>
        </w:rPr>
        <w:t>各单项产品或劳务的性质</w:t>
      </w:r>
      <w:r>
        <w:rPr>
          <w:rFonts w:ascii="宋体" w:hAnsi="宋体" w:cs="宋体"/>
          <w:sz w:val="15"/>
          <w:szCs w:val="15"/>
        </w:rPr>
        <w:t>2</w:t>
      </w:r>
      <w:r>
        <w:rPr>
          <w:rFonts w:hint="eastAsia" w:ascii="宋体" w:hAnsi="宋体" w:cs="宋体"/>
          <w:sz w:val="15"/>
          <w:szCs w:val="15"/>
        </w:rPr>
        <w:t>生产过程的性质</w:t>
      </w:r>
      <w:r>
        <w:rPr>
          <w:rFonts w:ascii="宋体" w:hAnsi="宋体" w:cs="宋体"/>
          <w:sz w:val="15"/>
          <w:szCs w:val="15"/>
        </w:rPr>
        <w:t>3</w:t>
      </w:r>
      <w:r>
        <w:rPr>
          <w:rFonts w:hint="eastAsia" w:ascii="宋体" w:hAnsi="宋体" w:cs="宋体"/>
          <w:sz w:val="15"/>
          <w:szCs w:val="15"/>
        </w:rPr>
        <w:t>产品或劳务的客户类型</w:t>
      </w:r>
      <w:r>
        <w:rPr>
          <w:rFonts w:ascii="宋体" w:hAnsi="宋体" w:cs="宋体"/>
          <w:sz w:val="15"/>
          <w:szCs w:val="15"/>
        </w:rPr>
        <w:t>4</w:t>
      </w:r>
      <w:r>
        <w:rPr>
          <w:rFonts w:hint="eastAsia" w:ascii="宋体" w:hAnsi="宋体" w:cs="宋体"/>
          <w:sz w:val="15"/>
          <w:szCs w:val="15"/>
        </w:rPr>
        <w:t>销售产品或提供劳务的方式</w:t>
      </w:r>
      <w:r>
        <w:rPr>
          <w:rFonts w:ascii="宋体" w:hAnsi="宋体" w:cs="宋体"/>
          <w:sz w:val="15"/>
          <w:szCs w:val="15"/>
        </w:rPr>
        <w:t>5</w:t>
      </w:r>
      <w:r>
        <w:rPr>
          <w:rFonts w:hint="eastAsia" w:ascii="宋体" w:hAnsi="宋体" w:cs="宋体"/>
          <w:sz w:val="15"/>
          <w:szCs w:val="15"/>
        </w:rPr>
        <w:t>生产产品或提供劳务受法律、行政法律规的影响。</w:t>
      </w:r>
    </w:p>
    <w:p>
      <w:pPr>
        <w:autoSpaceDN w:val="0"/>
        <w:spacing w:line="160" w:lineRule="exact"/>
        <w:rPr>
          <w:rFonts w:ascii="宋体" w:cs="宋体"/>
          <w:sz w:val="15"/>
          <w:szCs w:val="15"/>
        </w:rPr>
      </w:pPr>
      <w:r>
        <w:rPr>
          <w:rFonts w:hint="eastAsia" w:ascii="宋体" w:hAnsi="宋体" w:cs="宋体"/>
          <w:b/>
          <w:bCs/>
          <w:sz w:val="15"/>
          <w:szCs w:val="15"/>
        </w:rPr>
        <w:t>地区分部</w:t>
      </w:r>
      <w:r>
        <w:rPr>
          <w:rFonts w:hint="eastAsia" w:ascii="宋体" w:hAnsi="宋体" w:cs="宋体"/>
          <w:sz w:val="15"/>
          <w:szCs w:val="15"/>
        </w:rPr>
        <w:t>是指企业内部可区分的、能够在一个特定的经济环境内提供产品或劳务的组成部分。</w:t>
      </w:r>
    </w:p>
    <w:p>
      <w:pPr>
        <w:autoSpaceDN w:val="0"/>
        <w:spacing w:line="160" w:lineRule="exact"/>
        <w:rPr>
          <w:rFonts w:ascii="宋体" w:cs="宋体"/>
          <w:sz w:val="15"/>
          <w:szCs w:val="15"/>
        </w:rPr>
      </w:pPr>
      <w:r>
        <w:rPr>
          <w:rFonts w:hint="eastAsia" w:ascii="宋体" w:hAnsi="宋体" w:cs="宋体"/>
          <w:b/>
          <w:bCs/>
          <w:sz w:val="15"/>
          <w:szCs w:val="15"/>
        </w:rPr>
        <w:t>确认地区分部时考虑的因素</w:t>
      </w:r>
      <w:r>
        <w:rPr>
          <w:rFonts w:ascii="宋体" w:hAnsi="宋体" w:cs="宋体"/>
          <w:sz w:val="15"/>
          <w:szCs w:val="15"/>
        </w:rPr>
        <w:t>1</w:t>
      </w:r>
      <w:r>
        <w:rPr>
          <w:rFonts w:hint="eastAsia" w:ascii="宋体" w:hAnsi="宋体" w:cs="宋体"/>
          <w:sz w:val="15"/>
          <w:szCs w:val="15"/>
        </w:rPr>
        <w:t>所处经济、政治环境的相似性</w:t>
      </w:r>
      <w:r>
        <w:rPr>
          <w:rFonts w:ascii="宋体" w:hAnsi="宋体" w:cs="宋体"/>
          <w:sz w:val="15"/>
          <w:szCs w:val="15"/>
        </w:rPr>
        <w:t>2</w:t>
      </w:r>
      <w:r>
        <w:rPr>
          <w:rFonts w:hint="eastAsia" w:ascii="宋体" w:hAnsi="宋体" w:cs="宋体"/>
          <w:sz w:val="15"/>
          <w:szCs w:val="15"/>
        </w:rPr>
        <w:t>在不同地区经营之间的关系</w:t>
      </w:r>
      <w:r>
        <w:rPr>
          <w:rFonts w:ascii="宋体" w:hAnsi="宋体" w:cs="宋体"/>
          <w:sz w:val="15"/>
          <w:szCs w:val="15"/>
        </w:rPr>
        <w:t>3</w:t>
      </w:r>
      <w:r>
        <w:rPr>
          <w:rFonts w:hint="eastAsia" w:ascii="宋体" w:hAnsi="宋体" w:cs="宋体"/>
          <w:sz w:val="15"/>
          <w:szCs w:val="15"/>
        </w:rPr>
        <w:t>经营的接近程度大小</w:t>
      </w:r>
      <w:r>
        <w:rPr>
          <w:rFonts w:ascii="宋体" w:hAnsi="宋体" w:cs="宋体"/>
          <w:sz w:val="15"/>
          <w:szCs w:val="15"/>
        </w:rPr>
        <w:t>4</w:t>
      </w:r>
      <w:r>
        <w:rPr>
          <w:rFonts w:hint="eastAsia" w:ascii="宋体" w:hAnsi="宋体" w:cs="宋体"/>
          <w:sz w:val="15"/>
          <w:szCs w:val="15"/>
        </w:rPr>
        <w:t>与某一特定地区经营相关的特别风险</w:t>
      </w:r>
      <w:r>
        <w:rPr>
          <w:rFonts w:ascii="宋体" w:hAnsi="宋体" w:cs="宋体"/>
          <w:sz w:val="15"/>
          <w:szCs w:val="15"/>
        </w:rPr>
        <w:t>5</w:t>
      </w:r>
      <w:r>
        <w:rPr>
          <w:rFonts w:hint="eastAsia" w:ascii="宋体" w:hAnsi="宋体" w:cs="宋体"/>
          <w:sz w:val="15"/>
          <w:szCs w:val="15"/>
        </w:rPr>
        <w:t>外汇管理规定</w:t>
      </w:r>
      <w:r>
        <w:rPr>
          <w:rFonts w:ascii="宋体" w:hAnsi="宋体" w:cs="宋体"/>
          <w:sz w:val="15"/>
          <w:szCs w:val="15"/>
        </w:rPr>
        <w:t>6</w:t>
      </w:r>
      <w:r>
        <w:rPr>
          <w:rFonts w:hint="eastAsia" w:ascii="宋体" w:hAnsi="宋体" w:cs="宋体"/>
          <w:sz w:val="15"/>
          <w:szCs w:val="15"/>
        </w:rPr>
        <w:t>外汇风险。</w:t>
      </w:r>
    </w:p>
    <w:p>
      <w:pPr>
        <w:autoSpaceDN w:val="0"/>
        <w:spacing w:line="160" w:lineRule="exact"/>
        <w:rPr>
          <w:rFonts w:ascii="宋体" w:cs="宋体"/>
          <w:sz w:val="15"/>
          <w:szCs w:val="15"/>
        </w:rPr>
      </w:pPr>
      <w:r>
        <w:rPr>
          <w:rFonts w:hint="eastAsia" w:ascii="宋体" w:hAnsi="宋体" w:cs="宋体"/>
          <w:b/>
          <w:bCs/>
          <w:sz w:val="15"/>
          <w:szCs w:val="15"/>
        </w:rPr>
        <w:t>确认报告分部的原则；</w:t>
      </w:r>
      <w:r>
        <w:rPr>
          <w:rFonts w:hint="eastAsia" w:ascii="宋体" w:hAnsi="宋体" w:cs="宋体"/>
          <w:sz w:val="15"/>
          <w:szCs w:val="15"/>
        </w:rPr>
        <w:t>报告部分的确定应当考虑重要性原则，在确定业务分部和地区分部后，需要按照一定的标准对业务分部或地区分部进行重要性标准的测试，满足重要性标准的业务分部或地区分部，才能作为报告分部。</w:t>
      </w:r>
    </w:p>
    <w:p>
      <w:pPr>
        <w:autoSpaceDN w:val="0"/>
        <w:spacing w:line="160" w:lineRule="exact"/>
        <w:rPr>
          <w:rFonts w:ascii="宋体" w:cs="宋体"/>
          <w:sz w:val="15"/>
          <w:szCs w:val="15"/>
        </w:rPr>
      </w:pPr>
      <w:r>
        <w:rPr>
          <w:rFonts w:hint="eastAsia" w:ascii="宋体" w:hAnsi="宋体" w:cs="宋体"/>
          <w:b/>
          <w:bCs/>
          <w:sz w:val="15"/>
          <w:szCs w:val="15"/>
        </w:rPr>
        <w:t>分部报告的种类</w:t>
      </w:r>
      <w:r>
        <w:rPr>
          <w:rFonts w:hint="eastAsia" w:ascii="宋体" w:hAnsi="宋体" w:cs="宋体"/>
          <w:sz w:val="15"/>
          <w:szCs w:val="15"/>
        </w:rPr>
        <w:t>形式主要报告形式和次要报告形式，主要报告形式则是指可以披露较为详细的分部信息的报告形式，次要报告形式则是指可以披露较为简化的分部信息的报告形式，</w:t>
      </w:r>
    </w:p>
    <w:p>
      <w:pPr>
        <w:autoSpaceDN w:val="0"/>
        <w:spacing w:line="160" w:lineRule="exact"/>
        <w:rPr>
          <w:rFonts w:ascii="宋体" w:cs="宋体"/>
          <w:sz w:val="15"/>
          <w:szCs w:val="15"/>
        </w:rPr>
      </w:pPr>
      <w:r>
        <w:rPr>
          <w:rFonts w:hint="eastAsia" w:ascii="宋体" w:hAnsi="宋体" w:cs="宋体"/>
          <w:b/>
          <w:bCs/>
          <w:sz w:val="15"/>
          <w:szCs w:val="15"/>
        </w:rPr>
        <w:t>分部报告的形式确定</w:t>
      </w:r>
      <w:r>
        <w:rPr>
          <w:rFonts w:hint="eastAsia" w:ascii="宋体" w:hAnsi="宋体" w:cs="宋体"/>
          <w:sz w:val="15"/>
          <w:szCs w:val="15"/>
        </w:rPr>
        <w:t>，企业在确定分部信息的主要报告形式和次要报告形式时，应当以其风险报酬的主要来源和性质为依据，同时结合企业的内部组织结构、管理结构以及董事会或类似机构的内部财务报告制度。</w:t>
      </w:r>
    </w:p>
    <w:p>
      <w:pPr>
        <w:autoSpaceDN w:val="0"/>
        <w:spacing w:line="160" w:lineRule="exact"/>
        <w:rPr>
          <w:rFonts w:ascii="宋体" w:cs="宋体"/>
          <w:sz w:val="15"/>
          <w:szCs w:val="15"/>
        </w:rPr>
      </w:pPr>
      <w:r>
        <w:rPr>
          <w:rFonts w:hint="eastAsia" w:ascii="宋体" w:hAnsi="宋体" w:cs="宋体"/>
          <w:b/>
          <w:bCs/>
          <w:sz w:val="15"/>
          <w:szCs w:val="15"/>
        </w:rPr>
        <w:t>分布会计报告的纰漏</w:t>
      </w:r>
      <w:r>
        <w:rPr>
          <w:rFonts w:hint="eastAsia" w:ascii="宋体" w:hAnsi="宋体" w:cs="宋体"/>
          <w:sz w:val="15"/>
          <w:szCs w:val="15"/>
        </w:rPr>
        <w:t>分部收入是由可归属于分部的对外交易收入和对其他分部交易收入两部分构成。主要来源有两个一是直接由分部的业务交易产生的可以直接归属分部的收入。二十将企业交易产生的收入在相关分部之间进行分配可间接归属分部的收入</w:t>
      </w:r>
      <w:r>
        <w:rPr>
          <w:rFonts w:ascii="宋体" w:hAnsi="宋体" w:cs="宋体"/>
          <w:sz w:val="15"/>
          <w:szCs w:val="15"/>
        </w:rPr>
        <w:t xml:space="preserve"> </w:t>
      </w:r>
      <w:r>
        <w:rPr>
          <w:rFonts w:hint="eastAsia" w:ascii="宋体" w:hAnsi="宋体" w:cs="宋体"/>
          <w:sz w:val="15"/>
          <w:szCs w:val="15"/>
        </w:rPr>
        <w:t>。分部收入不包括下列以企业整体为基础来计划和管理投资、融资行为所产生的收入以及非营业活动产生的收入。</w:t>
      </w:r>
      <w:r>
        <w:rPr>
          <w:rFonts w:ascii="宋体" w:hAnsi="宋体" w:cs="宋体"/>
          <w:sz w:val="15"/>
          <w:szCs w:val="15"/>
        </w:rPr>
        <w:t xml:space="preserve">  </w:t>
      </w:r>
    </w:p>
    <w:p>
      <w:pPr>
        <w:autoSpaceDN w:val="0"/>
        <w:spacing w:line="160" w:lineRule="exact"/>
        <w:rPr>
          <w:rFonts w:ascii="宋体" w:cs="宋体"/>
          <w:sz w:val="15"/>
          <w:szCs w:val="15"/>
        </w:rPr>
      </w:pPr>
      <w:r>
        <w:rPr>
          <w:rFonts w:hint="eastAsia" w:ascii="宋体" w:hAnsi="宋体" w:cs="宋体"/>
          <w:b/>
          <w:bCs/>
          <w:sz w:val="15"/>
          <w:szCs w:val="15"/>
        </w:rPr>
        <w:t>分部费用：</w:t>
      </w:r>
      <w:r>
        <w:rPr>
          <w:rFonts w:ascii="宋体" w:hAnsi="宋体" w:cs="宋体"/>
          <w:sz w:val="15"/>
          <w:szCs w:val="15"/>
        </w:rPr>
        <w:t xml:space="preserve"> </w:t>
      </w:r>
      <w:r>
        <w:rPr>
          <w:rFonts w:hint="eastAsia" w:ascii="宋体" w:hAnsi="宋体" w:cs="宋体"/>
          <w:sz w:val="15"/>
          <w:szCs w:val="15"/>
        </w:rPr>
        <w:t>是指可归属分部的对外交易费用和对其他分部交易费用。</w:t>
      </w:r>
    </w:p>
    <w:p>
      <w:pPr>
        <w:autoSpaceDN w:val="0"/>
        <w:spacing w:line="160" w:lineRule="exact"/>
        <w:rPr>
          <w:rFonts w:ascii="宋体" w:cs="宋体"/>
          <w:sz w:val="15"/>
          <w:szCs w:val="15"/>
        </w:rPr>
      </w:pPr>
      <w:r>
        <w:rPr>
          <w:rFonts w:hint="eastAsia" w:ascii="宋体" w:hAnsi="宋体" w:cs="宋体"/>
          <w:sz w:val="15"/>
          <w:szCs w:val="15"/>
        </w:rPr>
        <w:t>通常包括：营业成本、营业税金及附加、销售费用等。其主要来源有两个：一是直接由分部的业务交易产生的可以直接归属分部的费用</w:t>
      </w:r>
      <w:r>
        <w:rPr>
          <w:rFonts w:ascii="宋体" w:cs="宋体"/>
          <w:sz w:val="15"/>
          <w:szCs w:val="15"/>
        </w:rPr>
        <w:t>.</w:t>
      </w:r>
      <w:r>
        <w:rPr>
          <w:rFonts w:hint="eastAsia" w:ascii="宋体" w:hAnsi="宋体" w:cs="宋体"/>
          <w:sz w:val="15"/>
          <w:szCs w:val="15"/>
        </w:rPr>
        <w:t>二是将企业交易发生的费用在相关分部之间进行分配可间接归属分部的费用。</w:t>
      </w:r>
      <w:r>
        <w:rPr>
          <w:rFonts w:ascii="宋体" w:hAnsi="宋体" w:cs="宋体"/>
          <w:sz w:val="15"/>
          <w:szCs w:val="15"/>
        </w:rPr>
        <w:t xml:space="preserve"> </w:t>
      </w:r>
      <w:r>
        <w:rPr>
          <w:rFonts w:hint="eastAsia" w:ascii="宋体" w:hAnsi="宋体" w:cs="宋体"/>
          <w:sz w:val="15"/>
          <w:szCs w:val="15"/>
        </w:rPr>
        <w:t>不包括下列项目：</w:t>
      </w:r>
      <w:r>
        <w:rPr>
          <w:rFonts w:ascii="宋体" w:hAnsi="宋体" w:cs="宋体"/>
          <w:sz w:val="15"/>
          <w:szCs w:val="15"/>
        </w:rPr>
        <w:t>1</w:t>
      </w:r>
      <w:r>
        <w:rPr>
          <w:rFonts w:hint="eastAsia" w:ascii="宋体" w:hAnsi="宋体" w:cs="宋体"/>
          <w:sz w:val="15"/>
          <w:szCs w:val="15"/>
        </w:rPr>
        <w:t>利息费用</w:t>
      </w:r>
      <w:r>
        <w:rPr>
          <w:rFonts w:ascii="宋体" w:hAnsi="宋体" w:cs="宋体"/>
          <w:sz w:val="15"/>
          <w:szCs w:val="15"/>
        </w:rPr>
        <w:t>2</w:t>
      </w:r>
      <w:r>
        <w:rPr>
          <w:rFonts w:hint="eastAsia" w:ascii="宋体" w:hAnsi="宋体" w:cs="宋体"/>
          <w:sz w:val="15"/>
          <w:szCs w:val="15"/>
        </w:rPr>
        <w:t>采用权益法核算的长期股权投资在被投资单位发生的损失中应承担的份额。</w:t>
      </w:r>
      <w:r>
        <w:rPr>
          <w:rFonts w:ascii="宋体" w:hAnsi="宋体" w:cs="宋体"/>
          <w:sz w:val="15"/>
          <w:szCs w:val="15"/>
        </w:rPr>
        <w:t>3</w:t>
      </w:r>
      <w:r>
        <w:rPr>
          <w:rFonts w:hint="eastAsia" w:ascii="宋体" w:hAnsi="宋体" w:cs="宋体"/>
          <w:sz w:val="15"/>
          <w:szCs w:val="15"/>
        </w:rPr>
        <w:t>处置投资发生的净损失</w:t>
      </w:r>
      <w:r>
        <w:rPr>
          <w:rFonts w:ascii="宋体" w:hAnsi="宋体" w:cs="宋体"/>
          <w:sz w:val="15"/>
          <w:szCs w:val="15"/>
        </w:rPr>
        <w:t>4</w:t>
      </w:r>
      <w:r>
        <w:rPr>
          <w:rFonts w:hint="eastAsia" w:ascii="宋体" w:hAnsi="宋体" w:cs="宋体"/>
          <w:sz w:val="15"/>
          <w:szCs w:val="15"/>
        </w:rPr>
        <w:t>营业外支出</w:t>
      </w:r>
      <w:r>
        <w:rPr>
          <w:rFonts w:ascii="宋体" w:hAnsi="宋体" w:cs="宋体"/>
          <w:sz w:val="15"/>
          <w:szCs w:val="15"/>
        </w:rPr>
        <w:t>5</w:t>
      </w:r>
      <w:r>
        <w:rPr>
          <w:rFonts w:hint="eastAsia" w:ascii="宋体" w:hAnsi="宋体" w:cs="宋体"/>
          <w:sz w:val="15"/>
          <w:szCs w:val="15"/>
        </w:rPr>
        <w:t>所得税费用</w:t>
      </w:r>
      <w:r>
        <w:rPr>
          <w:rFonts w:ascii="宋体" w:hAnsi="宋体" w:cs="宋体"/>
          <w:sz w:val="15"/>
          <w:szCs w:val="15"/>
        </w:rPr>
        <w:t>6</w:t>
      </w:r>
      <w:r>
        <w:rPr>
          <w:rFonts w:hint="eastAsia" w:ascii="宋体" w:hAnsi="宋体" w:cs="宋体"/>
          <w:sz w:val="15"/>
          <w:szCs w:val="15"/>
        </w:rPr>
        <w:t>与企业整体相关的管理费用和其他费用。</w:t>
      </w:r>
    </w:p>
    <w:p>
      <w:pPr>
        <w:autoSpaceDN w:val="0"/>
        <w:spacing w:line="160" w:lineRule="exact"/>
        <w:rPr>
          <w:rFonts w:ascii="宋体" w:cs="宋体"/>
          <w:sz w:val="15"/>
          <w:szCs w:val="15"/>
        </w:rPr>
      </w:pPr>
      <w:r>
        <w:rPr>
          <w:rFonts w:hint="eastAsia" w:ascii="宋体" w:hAnsi="宋体" w:cs="宋体"/>
          <w:b/>
          <w:sz w:val="15"/>
          <w:szCs w:val="15"/>
        </w:rPr>
        <w:t>中期财务报告</w:t>
      </w:r>
      <w:r>
        <w:rPr>
          <w:rFonts w:hint="eastAsia" w:ascii="宋体" w:hAnsi="宋体" w:cs="宋体"/>
          <w:sz w:val="15"/>
          <w:szCs w:val="15"/>
        </w:rPr>
        <w:t>是指在中期为基础编制的财务报告。中期是指短于一个完整的会计年度的报告期间</w:t>
      </w:r>
    </w:p>
    <w:p>
      <w:pPr>
        <w:autoSpaceDN w:val="0"/>
        <w:spacing w:line="160" w:lineRule="exact"/>
        <w:rPr>
          <w:rFonts w:ascii="宋体" w:cs="宋体"/>
          <w:sz w:val="15"/>
          <w:szCs w:val="15"/>
        </w:rPr>
      </w:pPr>
      <w:r>
        <w:rPr>
          <w:rFonts w:hint="eastAsia" w:ascii="宋体" w:hAnsi="宋体" w:cs="宋体"/>
          <w:b/>
          <w:bCs/>
          <w:sz w:val="15"/>
          <w:szCs w:val="15"/>
        </w:rPr>
        <w:t>中期财务报告的基础构成</w:t>
      </w:r>
      <w:r>
        <w:rPr>
          <w:rFonts w:hint="eastAsia" w:ascii="宋体" w:hAnsi="宋体" w:cs="宋体"/>
          <w:sz w:val="15"/>
          <w:szCs w:val="15"/>
        </w:rPr>
        <w:t>至少应当包括资产债表、利润表、现金流量表和附注。</w:t>
      </w:r>
      <w:r>
        <w:rPr>
          <w:rFonts w:ascii="宋体" w:hAnsi="宋体" w:cs="宋体"/>
          <w:sz w:val="15"/>
          <w:szCs w:val="15"/>
        </w:rPr>
        <w:t xml:space="preserve"> </w:t>
      </w:r>
    </w:p>
    <w:p>
      <w:pPr>
        <w:autoSpaceDN w:val="0"/>
        <w:spacing w:line="160" w:lineRule="exact"/>
        <w:rPr>
          <w:rFonts w:ascii="宋体" w:cs="宋体"/>
          <w:sz w:val="15"/>
          <w:szCs w:val="15"/>
        </w:rPr>
      </w:pPr>
      <w:r>
        <w:rPr>
          <w:rFonts w:hint="eastAsia" w:ascii="宋体" w:hAnsi="宋体" w:cs="宋体"/>
          <w:b/>
          <w:sz w:val="15"/>
          <w:szCs w:val="15"/>
        </w:rPr>
        <w:t>中期财务报告的编制意义</w:t>
      </w:r>
      <w:r>
        <w:rPr>
          <w:rFonts w:ascii="宋体" w:hAnsi="宋体" w:cs="宋体"/>
          <w:sz w:val="15"/>
          <w:szCs w:val="15"/>
        </w:rPr>
        <w:t>1</w:t>
      </w:r>
      <w:r>
        <w:rPr>
          <w:rFonts w:hint="eastAsia" w:ascii="宋体" w:hAnsi="宋体" w:cs="宋体"/>
          <w:sz w:val="15"/>
          <w:szCs w:val="15"/>
        </w:rPr>
        <w:t>有助于提高会计信息质量</w:t>
      </w:r>
      <w:r>
        <w:rPr>
          <w:rFonts w:ascii="宋体" w:hAnsi="宋体" w:cs="宋体"/>
          <w:sz w:val="15"/>
          <w:szCs w:val="15"/>
        </w:rPr>
        <w:t>2.</w:t>
      </w:r>
      <w:r>
        <w:rPr>
          <w:rFonts w:hint="eastAsia" w:ascii="宋体" w:hAnsi="宋体" w:cs="宋体"/>
          <w:sz w:val="15"/>
          <w:szCs w:val="15"/>
        </w:rPr>
        <w:t>有助于完善上市公司的信息披露制度</w:t>
      </w:r>
      <w:r>
        <w:rPr>
          <w:rFonts w:ascii="宋体" w:hAnsi="宋体" w:cs="宋体"/>
          <w:sz w:val="15"/>
          <w:szCs w:val="15"/>
        </w:rPr>
        <w:t>3.</w:t>
      </w:r>
      <w:r>
        <w:rPr>
          <w:rFonts w:hint="eastAsia" w:ascii="宋体" w:hAnsi="宋体" w:cs="宋体"/>
          <w:sz w:val="15"/>
          <w:szCs w:val="15"/>
        </w:rPr>
        <w:t>有助于规范企业的行为</w:t>
      </w:r>
    </w:p>
    <w:p>
      <w:pPr>
        <w:autoSpaceDN w:val="0"/>
        <w:spacing w:line="160" w:lineRule="exact"/>
        <w:rPr>
          <w:rFonts w:ascii="宋体" w:cs="宋体"/>
          <w:sz w:val="15"/>
          <w:szCs w:val="15"/>
        </w:rPr>
      </w:pPr>
      <w:r>
        <w:rPr>
          <w:rFonts w:hint="eastAsia" w:ascii="宋体" w:hAnsi="宋体" w:cs="宋体"/>
          <w:b/>
          <w:sz w:val="15"/>
          <w:szCs w:val="15"/>
        </w:rPr>
        <w:t>中期财务报告的理论基础</w:t>
      </w:r>
      <w:r>
        <w:rPr>
          <w:rFonts w:hint="eastAsia" w:ascii="宋体" w:hAnsi="宋体" w:cs="宋体"/>
          <w:sz w:val="15"/>
          <w:szCs w:val="15"/>
        </w:rPr>
        <w:t>：关于编制中期财务报告的理论基础，目前主要有两种观点：一种是独立观，一种是一体观。情况比较少，往往都侧重于采用一体观或者独立观。</w:t>
      </w:r>
    </w:p>
    <w:p>
      <w:pPr>
        <w:autoSpaceDN w:val="0"/>
        <w:spacing w:line="160" w:lineRule="exact"/>
        <w:rPr>
          <w:rFonts w:ascii="宋体" w:cs="宋体"/>
          <w:sz w:val="15"/>
          <w:szCs w:val="15"/>
        </w:rPr>
      </w:pPr>
      <w:r>
        <w:rPr>
          <w:rFonts w:hint="eastAsia" w:ascii="宋体" w:hAnsi="宋体" w:cs="宋体"/>
          <w:b/>
          <w:sz w:val="15"/>
          <w:szCs w:val="15"/>
        </w:rPr>
        <w:t>中期财务报告应遵循的会计信息质量要求</w:t>
      </w:r>
      <w:r>
        <w:rPr>
          <w:rFonts w:hint="eastAsia" w:ascii="宋体" w:hAnsi="宋体" w:cs="宋体"/>
          <w:sz w:val="15"/>
          <w:szCs w:val="15"/>
        </w:rPr>
        <w:t>：其中的重要性和及时性，是编制中期财务报告需要特殊考虑的两个会计信息质量要求。重要性程度的判断应当以中期财务数据位基础。中期比较财务报表的编制要求：一，本中期末的资产负债表和上年度末的资产负债表。二，本中期的利润表、年初至本中期末的利润表以及上年度可比期间的利润表。三，年初至本中期末的现金流量表和上年度年初至可比本中期末的现金流量表。</w:t>
      </w:r>
    </w:p>
    <w:p>
      <w:pPr>
        <w:autoSpaceDN w:val="0"/>
        <w:spacing w:line="160" w:lineRule="exact"/>
        <w:rPr>
          <w:rFonts w:ascii="宋体" w:cs="宋体"/>
          <w:sz w:val="15"/>
          <w:szCs w:val="15"/>
        </w:rPr>
      </w:pPr>
      <w:r>
        <w:rPr>
          <w:rFonts w:hint="eastAsia" w:ascii="宋体" w:hAnsi="宋体" w:cs="宋体"/>
          <w:b/>
          <w:sz w:val="15"/>
          <w:szCs w:val="15"/>
        </w:rPr>
        <w:t>中期财务报告附注的披露要求</w:t>
      </w:r>
      <w:r>
        <w:rPr>
          <w:rFonts w:hint="eastAsia" w:ascii="宋体" w:hAnsi="宋体" w:cs="宋体"/>
          <w:sz w:val="15"/>
          <w:szCs w:val="15"/>
        </w:rPr>
        <w:t>：</w:t>
      </w:r>
      <w:r>
        <w:rPr>
          <w:rFonts w:ascii="宋体" w:hAnsi="宋体" w:cs="宋体"/>
          <w:sz w:val="15"/>
          <w:szCs w:val="15"/>
        </w:rPr>
        <w:t>1</w:t>
      </w:r>
      <w:r>
        <w:rPr>
          <w:rFonts w:hint="eastAsia" w:ascii="宋体" w:hAnsi="宋体" w:cs="宋体"/>
          <w:sz w:val="15"/>
          <w:szCs w:val="15"/>
        </w:rPr>
        <w:t>，应当以年初至本中期末为基础披露。</w:t>
      </w:r>
      <w:r>
        <w:rPr>
          <w:rFonts w:ascii="宋体" w:hAnsi="宋体" w:cs="宋体"/>
          <w:sz w:val="15"/>
          <w:szCs w:val="15"/>
        </w:rPr>
        <w:t>2</w:t>
      </w:r>
      <w:r>
        <w:rPr>
          <w:rFonts w:hint="eastAsia" w:ascii="宋体" w:hAnsi="宋体" w:cs="宋体"/>
          <w:sz w:val="15"/>
          <w:szCs w:val="15"/>
        </w:rPr>
        <w:t>，应当对自上年度资产负债表日之后发生的重要交易或者事项进行披露。</w:t>
      </w:r>
    </w:p>
    <w:p>
      <w:pPr>
        <w:autoSpaceDN w:val="0"/>
        <w:spacing w:line="160" w:lineRule="exact"/>
        <w:rPr>
          <w:rFonts w:ascii="宋体" w:cs="宋体"/>
          <w:sz w:val="15"/>
          <w:szCs w:val="15"/>
        </w:rPr>
      </w:pPr>
      <w:r>
        <w:rPr>
          <w:rFonts w:hint="eastAsia" w:ascii="宋体" w:hAnsi="宋体" w:cs="宋体"/>
          <w:b/>
          <w:bCs/>
          <w:sz w:val="15"/>
          <w:szCs w:val="15"/>
        </w:rPr>
        <w:t>披露内容</w:t>
      </w:r>
      <w:r>
        <w:rPr>
          <w:rFonts w:hint="eastAsia" w:ascii="宋体" w:hAnsi="宋体" w:cs="宋体"/>
          <w:sz w:val="15"/>
          <w:szCs w:val="15"/>
        </w:rPr>
        <w:t>：</w:t>
      </w:r>
      <w:r>
        <w:rPr>
          <w:rFonts w:ascii="宋体" w:hAnsi="宋体" w:cs="宋体"/>
          <w:sz w:val="15"/>
          <w:szCs w:val="15"/>
        </w:rPr>
        <w:t>1</w:t>
      </w:r>
      <w:r>
        <w:rPr>
          <w:rFonts w:hint="eastAsia" w:ascii="宋体" w:hAnsi="宋体" w:cs="宋体"/>
          <w:sz w:val="15"/>
          <w:szCs w:val="15"/>
        </w:rPr>
        <w:t>，中期财务报表所采用的会计政策与上年度财务报表相一致的说明。</w:t>
      </w:r>
      <w:r>
        <w:rPr>
          <w:rFonts w:ascii="宋体" w:hAnsi="宋体" w:cs="宋体"/>
          <w:sz w:val="15"/>
          <w:szCs w:val="15"/>
        </w:rPr>
        <w:t>2</w:t>
      </w:r>
      <w:r>
        <w:rPr>
          <w:rFonts w:hint="eastAsia" w:ascii="宋体" w:hAnsi="宋体" w:cs="宋体"/>
          <w:sz w:val="15"/>
          <w:szCs w:val="15"/>
        </w:rPr>
        <w:t>，会计估计变更的内容、理由及其影响数，如果影响数不能合理确定，应当说明原因。</w:t>
      </w:r>
      <w:r>
        <w:rPr>
          <w:rFonts w:ascii="宋体" w:hAnsi="宋体" w:cs="宋体"/>
          <w:sz w:val="15"/>
          <w:szCs w:val="15"/>
        </w:rPr>
        <w:t>3</w:t>
      </w:r>
      <w:r>
        <w:rPr>
          <w:rFonts w:hint="eastAsia" w:ascii="宋体" w:hAnsi="宋体" w:cs="宋体"/>
          <w:sz w:val="15"/>
          <w:szCs w:val="15"/>
        </w:rPr>
        <w:t>，前期差错的性质及其更正金额。</w:t>
      </w:r>
      <w:r>
        <w:rPr>
          <w:rFonts w:ascii="宋体" w:hAnsi="宋体" w:cs="宋体"/>
          <w:sz w:val="15"/>
          <w:szCs w:val="15"/>
        </w:rPr>
        <w:t>4</w:t>
      </w:r>
      <w:r>
        <w:rPr>
          <w:rFonts w:hint="eastAsia" w:ascii="宋体" w:hAnsi="宋体" w:cs="宋体"/>
          <w:sz w:val="15"/>
          <w:szCs w:val="15"/>
        </w:rPr>
        <w:t>，企业经营的季节性或周期性特征。</w:t>
      </w:r>
      <w:r>
        <w:rPr>
          <w:rFonts w:ascii="宋体" w:hAnsi="宋体" w:cs="宋体"/>
          <w:sz w:val="15"/>
          <w:szCs w:val="15"/>
        </w:rPr>
        <w:t>5</w:t>
      </w:r>
      <w:r>
        <w:rPr>
          <w:rFonts w:hint="eastAsia" w:ascii="宋体" w:hAnsi="宋体" w:cs="宋体"/>
          <w:sz w:val="15"/>
          <w:szCs w:val="15"/>
        </w:rPr>
        <w:t>，存在制度关系的关联企业发生变化的情况，关联方之间发生交易的，应当披露关联方关系的性质、交易的类型和交易要素。</w:t>
      </w:r>
    </w:p>
    <w:p>
      <w:pPr>
        <w:autoSpaceDN w:val="0"/>
        <w:spacing w:line="160" w:lineRule="exact"/>
        <w:rPr>
          <w:rFonts w:ascii="宋体" w:cs="宋体"/>
          <w:sz w:val="15"/>
          <w:szCs w:val="15"/>
        </w:rPr>
      </w:pPr>
      <w:r>
        <w:rPr>
          <w:rFonts w:hint="eastAsia" w:ascii="宋体" w:hAnsi="宋体" w:cs="宋体"/>
          <w:b/>
          <w:sz w:val="15"/>
          <w:szCs w:val="15"/>
        </w:rPr>
        <w:t>关联方的概念</w:t>
      </w:r>
      <w:r>
        <w:rPr>
          <w:rFonts w:hint="eastAsia" w:ascii="宋体" w:hAnsi="宋体" w:cs="宋体"/>
          <w:sz w:val="15"/>
          <w:szCs w:val="15"/>
        </w:rPr>
        <w:t>一般是指有关联的各方。关联方关系则是指有关联的各方之间存在的内在联系。</w:t>
      </w:r>
    </w:p>
    <w:p>
      <w:pPr>
        <w:autoSpaceDN w:val="0"/>
        <w:spacing w:line="160" w:lineRule="exact"/>
        <w:rPr>
          <w:rFonts w:ascii="宋体" w:cs="宋体"/>
          <w:sz w:val="15"/>
          <w:szCs w:val="15"/>
        </w:rPr>
      </w:pPr>
      <w:r>
        <w:rPr>
          <w:rFonts w:hint="eastAsia" w:ascii="宋体" w:hAnsi="宋体" w:cs="宋体"/>
          <w:b/>
          <w:bCs/>
          <w:sz w:val="15"/>
          <w:szCs w:val="15"/>
        </w:rPr>
        <w:t>我国的关联方披露准则规定</w:t>
      </w:r>
      <w:r>
        <w:rPr>
          <w:rFonts w:hint="eastAsia" w:ascii="宋体" w:hAnsi="宋体" w:cs="宋体"/>
          <w:sz w:val="15"/>
          <w:szCs w:val="15"/>
        </w:rPr>
        <w:t>：一方控制、共同控制另一方或对另一方施加重大影响，以及两方或两方以上同受一方控制、共同控制或重大影响的构成关联方。</w:t>
      </w:r>
    </w:p>
    <w:p>
      <w:pPr>
        <w:autoSpaceDN w:val="0"/>
        <w:spacing w:line="160" w:lineRule="exact"/>
        <w:rPr>
          <w:rFonts w:ascii="宋体" w:cs="宋体"/>
          <w:sz w:val="15"/>
          <w:szCs w:val="15"/>
        </w:rPr>
      </w:pPr>
      <w:r>
        <w:rPr>
          <w:rFonts w:ascii="宋体" w:hAnsi="宋体" w:cs="宋体"/>
          <w:sz w:val="15"/>
          <w:szCs w:val="15"/>
        </w:rPr>
        <w:t xml:space="preserve"> </w:t>
      </w:r>
      <w:r>
        <w:rPr>
          <w:rFonts w:hint="eastAsia" w:ascii="宋体" w:hAnsi="宋体" w:cs="宋体"/>
          <w:b/>
          <w:bCs/>
          <w:sz w:val="15"/>
          <w:szCs w:val="15"/>
        </w:rPr>
        <w:t>关联方的特征：</w:t>
      </w:r>
      <w:r>
        <w:rPr>
          <w:rFonts w:ascii="宋体" w:hAnsi="宋体" w:cs="宋体"/>
          <w:sz w:val="15"/>
          <w:szCs w:val="15"/>
        </w:rPr>
        <w:t>1</w:t>
      </w:r>
      <w:r>
        <w:rPr>
          <w:rFonts w:hint="eastAsia" w:ascii="宋体" w:hAnsi="宋体" w:cs="宋体"/>
          <w:sz w:val="15"/>
          <w:szCs w:val="15"/>
        </w:rPr>
        <w:t>，关联方涉及两方或多方。</w:t>
      </w:r>
      <w:r>
        <w:rPr>
          <w:rFonts w:ascii="宋体" w:hAnsi="宋体" w:cs="宋体"/>
          <w:sz w:val="15"/>
          <w:szCs w:val="15"/>
        </w:rPr>
        <w:t>2</w:t>
      </w:r>
      <w:r>
        <w:rPr>
          <w:rFonts w:hint="eastAsia" w:ascii="宋体" w:hAnsi="宋体" w:cs="宋体"/>
          <w:sz w:val="15"/>
          <w:szCs w:val="15"/>
        </w:rPr>
        <w:t>，关联方以各方之间的影响为前提。</w:t>
      </w:r>
    </w:p>
    <w:p>
      <w:pPr>
        <w:autoSpaceDN w:val="0"/>
        <w:spacing w:line="160" w:lineRule="exact"/>
        <w:rPr>
          <w:rFonts w:ascii="宋体" w:cs="宋体"/>
          <w:sz w:val="15"/>
          <w:szCs w:val="15"/>
        </w:rPr>
      </w:pPr>
      <w:r>
        <w:rPr>
          <w:rFonts w:ascii="宋体" w:hAnsi="宋体" w:cs="宋体"/>
          <w:sz w:val="15"/>
          <w:szCs w:val="15"/>
        </w:rPr>
        <w:t xml:space="preserve">  </w:t>
      </w:r>
      <w:r>
        <w:rPr>
          <w:rFonts w:hint="eastAsia" w:ascii="宋体" w:hAnsi="宋体" w:cs="宋体"/>
          <w:b/>
          <w:bCs/>
          <w:sz w:val="15"/>
          <w:szCs w:val="15"/>
        </w:rPr>
        <w:t>关联方主要有以下存在形式。</w:t>
      </w:r>
      <w:r>
        <w:rPr>
          <w:rFonts w:ascii="宋体" w:hAnsi="宋体" w:cs="宋体"/>
          <w:sz w:val="15"/>
          <w:szCs w:val="15"/>
        </w:rPr>
        <w:t>1</w:t>
      </w:r>
      <w:r>
        <w:rPr>
          <w:rFonts w:hint="eastAsia" w:ascii="宋体" w:hAnsi="宋体" w:cs="宋体"/>
          <w:sz w:val="15"/>
          <w:szCs w:val="15"/>
        </w:rPr>
        <w:t>，该企业的母公司。</w:t>
      </w:r>
      <w:r>
        <w:rPr>
          <w:rFonts w:ascii="宋体" w:hAnsi="宋体" w:cs="宋体"/>
          <w:sz w:val="15"/>
          <w:szCs w:val="15"/>
        </w:rPr>
        <w:t>2</w:t>
      </w:r>
      <w:r>
        <w:rPr>
          <w:rFonts w:hint="eastAsia" w:ascii="宋体" w:hAnsi="宋体" w:cs="宋体"/>
          <w:sz w:val="15"/>
          <w:szCs w:val="15"/>
        </w:rPr>
        <w:t>，该企业的子公司。</w:t>
      </w:r>
      <w:r>
        <w:rPr>
          <w:rFonts w:ascii="宋体" w:hAnsi="宋体" w:cs="宋体"/>
          <w:sz w:val="15"/>
          <w:szCs w:val="15"/>
        </w:rPr>
        <w:t>3</w:t>
      </w:r>
      <w:r>
        <w:rPr>
          <w:rFonts w:hint="eastAsia" w:ascii="宋体" w:hAnsi="宋体" w:cs="宋体"/>
          <w:sz w:val="15"/>
          <w:szCs w:val="15"/>
        </w:rPr>
        <w:t>，与该企业受同一母公司控制的其他企业。</w:t>
      </w:r>
      <w:r>
        <w:rPr>
          <w:rFonts w:ascii="宋体" w:hAnsi="宋体" w:cs="宋体"/>
          <w:sz w:val="15"/>
          <w:szCs w:val="15"/>
        </w:rPr>
        <w:t>4</w:t>
      </w:r>
      <w:r>
        <w:rPr>
          <w:rFonts w:hint="eastAsia" w:ascii="宋体" w:hAnsi="宋体" w:cs="宋体"/>
          <w:sz w:val="15"/>
          <w:szCs w:val="15"/>
        </w:rPr>
        <w:t>，对该企业实施共同控制的投资方。</w:t>
      </w:r>
      <w:r>
        <w:rPr>
          <w:rFonts w:ascii="宋体" w:hAnsi="宋体" w:cs="宋体"/>
          <w:sz w:val="15"/>
          <w:szCs w:val="15"/>
        </w:rPr>
        <w:t>5</w:t>
      </w:r>
      <w:r>
        <w:rPr>
          <w:rFonts w:hint="eastAsia" w:ascii="宋体" w:hAnsi="宋体" w:cs="宋体"/>
          <w:sz w:val="15"/>
          <w:szCs w:val="15"/>
        </w:rPr>
        <w:t>，对该企业施加重大影响的投资方。</w:t>
      </w:r>
      <w:r>
        <w:rPr>
          <w:rFonts w:ascii="宋体" w:hAnsi="宋体" w:cs="宋体"/>
          <w:sz w:val="15"/>
          <w:szCs w:val="15"/>
        </w:rPr>
        <w:t>6</w:t>
      </w:r>
      <w:r>
        <w:rPr>
          <w:rFonts w:hint="eastAsia" w:ascii="宋体" w:hAnsi="宋体" w:cs="宋体"/>
          <w:sz w:val="15"/>
          <w:szCs w:val="15"/>
        </w:rPr>
        <w:t>，该企业的合营企业。</w:t>
      </w:r>
      <w:r>
        <w:rPr>
          <w:rFonts w:ascii="宋体" w:hAnsi="宋体" w:cs="宋体"/>
          <w:sz w:val="15"/>
          <w:szCs w:val="15"/>
        </w:rPr>
        <w:t>7</w:t>
      </w:r>
      <w:r>
        <w:rPr>
          <w:rFonts w:hint="eastAsia" w:ascii="宋体" w:hAnsi="宋体" w:cs="宋体"/>
          <w:sz w:val="15"/>
          <w:szCs w:val="15"/>
        </w:rPr>
        <w:t>，该企业的联营企业。</w:t>
      </w:r>
      <w:r>
        <w:rPr>
          <w:rFonts w:ascii="宋体" w:hAnsi="宋体" w:cs="宋体"/>
          <w:sz w:val="15"/>
          <w:szCs w:val="15"/>
        </w:rPr>
        <w:t>8</w:t>
      </w:r>
      <w:r>
        <w:rPr>
          <w:rFonts w:hint="eastAsia" w:ascii="宋体" w:hAnsi="宋体" w:cs="宋体"/>
          <w:sz w:val="15"/>
          <w:szCs w:val="15"/>
        </w:rPr>
        <w:t>，该企业的主要投资者个人以及与其关系密切的家庭成员。</w:t>
      </w:r>
      <w:r>
        <w:rPr>
          <w:rFonts w:ascii="宋体" w:hAnsi="宋体" w:cs="宋体"/>
          <w:sz w:val="15"/>
          <w:szCs w:val="15"/>
        </w:rPr>
        <w:t>9</w:t>
      </w:r>
      <w:r>
        <w:rPr>
          <w:rFonts w:hint="eastAsia" w:ascii="宋体" w:hAnsi="宋体" w:cs="宋体"/>
          <w:sz w:val="15"/>
          <w:szCs w:val="15"/>
        </w:rPr>
        <w:t>，该企业或其母公司的关键管理人员以及与其关系密切的家庭成员。</w:t>
      </w:r>
      <w:r>
        <w:rPr>
          <w:rFonts w:ascii="宋体" w:hAnsi="宋体" w:cs="宋体"/>
          <w:sz w:val="15"/>
          <w:szCs w:val="15"/>
        </w:rPr>
        <w:t>10</w:t>
      </w:r>
      <w:r>
        <w:rPr>
          <w:rFonts w:hint="eastAsia" w:ascii="宋体" w:hAnsi="宋体" w:cs="宋体"/>
          <w:sz w:val="15"/>
          <w:szCs w:val="15"/>
        </w:rPr>
        <w:t>，该企业主要投资者个人、关键管理人员或与其关系密切的家庭成员控制，共同控制或施加重大影响的其他企业。</w:t>
      </w:r>
    </w:p>
    <w:p>
      <w:pPr>
        <w:autoSpaceDN w:val="0"/>
        <w:spacing w:line="160" w:lineRule="exact"/>
        <w:rPr>
          <w:rFonts w:ascii="宋体" w:cs="宋体"/>
          <w:sz w:val="15"/>
          <w:szCs w:val="15"/>
        </w:rPr>
      </w:pPr>
      <w:r>
        <w:rPr>
          <w:rFonts w:hint="eastAsia" w:ascii="宋体" w:hAnsi="宋体" w:cs="宋体"/>
          <w:b/>
          <w:sz w:val="15"/>
          <w:szCs w:val="15"/>
        </w:rPr>
        <w:t>不构成关联方关系的情况</w:t>
      </w:r>
      <w:r>
        <w:rPr>
          <w:rFonts w:hint="eastAsia" w:ascii="宋体" w:hAnsi="宋体" w:cs="宋体"/>
          <w:sz w:val="15"/>
          <w:szCs w:val="15"/>
        </w:rPr>
        <w:t>：</w:t>
      </w:r>
      <w:r>
        <w:rPr>
          <w:rFonts w:ascii="宋体" w:hAnsi="宋体" w:cs="宋体"/>
          <w:sz w:val="15"/>
          <w:szCs w:val="15"/>
        </w:rPr>
        <w:t>1</w:t>
      </w:r>
      <w:r>
        <w:rPr>
          <w:rFonts w:hint="eastAsia" w:ascii="宋体" w:hAnsi="宋体" w:cs="宋体"/>
          <w:sz w:val="15"/>
          <w:szCs w:val="15"/>
        </w:rPr>
        <w:t>，与该企业发生日常往来的资金提供者、公用事业部门、政府部门个机构，以及与该企业发生大量交易而存在经济依存关系的单个客户，供应商，特殊商，经销商或代理商。</w:t>
      </w:r>
      <w:r>
        <w:rPr>
          <w:rFonts w:ascii="宋体" w:hAnsi="宋体" w:cs="宋体"/>
          <w:sz w:val="15"/>
          <w:szCs w:val="15"/>
        </w:rPr>
        <w:t>2</w:t>
      </w:r>
      <w:r>
        <w:rPr>
          <w:rFonts w:hint="eastAsia" w:ascii="宋体" w:hAnsi="宋体" w:cs="宋体"/>
          <w:sz w:val="15"/>
          <w:szCs w:val="15"/>
        </w:rPr>
        <w:t>，与该企业共同控制合营企业的合营者。</w:t>
      </w:r>
      <w:r>
        <w:rPr>
          <w:rFonts w:ascii="宋体" w:hAnsi="宋体" w:cs="宋体"/>
          <w:sz w:val="15"/>
          <w:szCs w:val="15"/>
        </w:rPr>
        <w:t>3</w:t>
      </w:r>
      <w:r>
        <w:rPr>
          <w:rFonts w:hint="eastAsia" w:ascii="宋体" w:hAnsi="宋体" w:cs="宋体"/>
          <w:sz w:val="15"/>
          <w:szCs w:val="15"/>
        </w:rPr>
        <w:t>，仅仅同受国家控制而不存在其他关联方关系的企业。</w:t>
      </w:r>
    </w:p>
    <w:p>
      <w:pPr>
        <w:autoSpaceDN w:val="0"/>
        <w:spacing w:line="160" w:lineRule="exact"/>
        <w:rPr>
          <w:rFonts w:ascii="宋体" w:cs="宋体"/>
          <w:sz w:val="15"/>
          <w:szCs w:val="15"/>
        </w:rPr>
      </w:pPr>
      <w:r>
        <w:rPr>
          <w:rFonts w:hint="eastAsia" w:ascii="宋体" w:hAnsi="宋体" w:cs="宋体"/>
          <w:b/>
          <w:sz w:val="15"/>
          <w:szCs w:val="15"/>
        </w:rPr>
        <w:t>关联方交易</w:t>
      </w:r>
      <w:r>
        <w:rPr>
          <w:rFonts w:hint="eastAsia" w:ascii="宋体" w:hAnsi="宋体" w:cs="宋体"/>
          <w:sz w:val="15"/>
          <w:szCs w:val="15"/>
        </w:rPr>
        <w:t>：是指关联方之间转移资源、劳务或义务的行为而不论是否收取价款。</w:t>
      </w:r>
    </w:p>
    <w:p>
      <w:pPr>
        <w:autoSpaceDN w:val="0"/>
        <w:spacing w:line="160" w:lineRule="exact"/>
        <w:rPr>
          <w:rFonts w:ascii="宋体" w:cs="宋体"/>
          <w:sz w:val="15"/>
          <w:szCs w:val="15"/>
        </w:rPr>
      </w:pPr>
      <w:r>
        <w:rPr>
          <w:rFonts w:hint="eastAsia" w:ascii="宋体" w:hAnsi="宋体" w:cs="宋体"/>
          <w:b/>
          <w:bCs/>
          <w:sz w:val="15"/>
          <w:szCs w:val="15"/>
        </w:rPr>
        <w:t>关联方交易的类型主要有</w:t>
      </w:r>
      <w:r>
        <w:rPr>
          <w:rFonts w:hint="eastAsia" w:ascii="宋体" w:hAnsi="宋体" w:cs="宋体"/>
          <w:sz w:val="15"/>
          <w:szCs w:val="15"/>
        </w:rPr>
        <w:t>。</w:t>
      </w:r>
      <w:r>
        <w:rPr>
          <w:rFonts w:ascii="宋体" w:hAnsi="宋体" w:cs="宋体"/>
          <w:sz w:val="15"/>
          <w:szCs w:val="15"/>
        </w:rPr>
        <w:t>1</w:t>
      </w:r>
      <w:r>
        <w:rPr>
          <w:rFonts w:hint="eastAsia" w:ascii="宋体" w:hAnsi="宋体" w:cs="宋体"/>
          <w:sz w:val="15"/>
          <w:szCs w:val="15"/>
        </w:rPr>
        <w:t>，购买或销售商品。</w:t>
      </w:r>
      <w:r>
        <w:rPr>
          <w:rFonts w:ascii="宋体" w:hAnsi="宋体" w:cs="宋体"/>
          <w:sz w:val="15"/>
          <w:szCs w:val="15"/>
        </w:rPr>
        <w:t>2</w:t>
      </w:r>
      <w:r>
        <w:rPr>
          <w:rFonts w:hint="eastAsia" w:ascii="宋体" w:hAnsi="宋体" w:cs="宋体"/>
          <w:sz w:val="15"/>
          <w:szCs w:val="15"/>
        </w:rPr>
        <w:t>，购买或销售除商品以外的其他资产。</w:t>
      </w:r>
      <w:r>
        <w:rPr>
          <w:rFonts w:ascii="宋体" w:hAnsi="宋体" w:cs="宋体"/>
          <w:sz w:val="15"/>
          <w:szCs w:val="15"/>
        </w:rPr>
        <w:t>3</w:t>
      </w:r>
      <w:r>
        <w:rPr>
          <w:rFonts w:hint="eastAsia" w:ascii="宋体" w:hAnsi="宋体" w:cs="宋体"/>
          <w:sz w:val="15"/>
          <w:szCs w:val="15"/>
        </w:rPr>
        <w:t>提供或接受劳务。</w:t>
      </w:r>
      <w:r>
        <w:rPr>
          <w:rFonts w:ascii="宋体" w:hAnsi="宋体" w:cs="宋体"/>
          <w:sz w:val="15"/>
          <w:szCs w:val="15"/>
        </w:rPr>
        <w:t>4</w:t>
      </w:r>
      <w:r>
        <w:rPr>
          <w:rFonts w:hint="eastAsia" w:ascii="宋体" w:hAnsi="宋体" w:cs="宋体"/>
          <w:sz w:val="15"/>
          <w:szCs w:val="15"/>
        </w:rPr>
        <w:t>，担保。</w:t>
      </w:r>
      <w:r>
        <w:rPr>
          <w:rFonts w:ascii="宋体" w:hAnsi="宋体" w:cs="宋体"/>
          <w:sz w:val="15"/>
          <w:szCs w:val="15"/>
        </w:rPr>
        <w:t>5</w:t>
      </w:r>
      <w:r>
        <w:rPr>
          <w:rFonts w:hint="eastAsia" w:ascii="宋体" w:hAnsi="宋体" w:cs="宋体"/>
          <w:sz w:val="15"/>
          <w:szCs w:val="15"/>
        </w:rPr>
        <w:t>，提供资金。</w:t>
      </w:r>
      <w:r>
        <w:rPr>
          <w:rFonts w:ascii="宋体" w:hAnsi="宋体" w:cs="宋体"/>
          <w:sz w:val="15"/>
          <w:szCs w:val="15"/>
        </w:rPr>
        <w:t>6</w:t>
      </w:r>
      <w:r>
        <w:rPr>
          <w:rFonts w:hint="eastAsia" w:ascii="宋体" w:hAnsi="宋体" w:cs="宋体"/>
          <w:sz w:val="15"/>
          <w:szCs w:val="15"/>
        </w:rPr>
        <w:t>，租凭。</w:t>
      </w:r>
      <w:r>
        <w:rPr>
          <w:rFonts w:ascii="宋体" w:hAnsi="宋体" w:cs="宋体"/>
          <w:sz w:val="15"/>
          <w:szCs w:val="15"/>
        </w:rPr>
        <w:t>7</w:t>
      </w:r>
      <w:r>
        <w:rPr>
          <w:rFonts w:hint="eastAsia" w:ascii="宋体" w:hAnsi="宋体" w:cs="宋体"/>
          <w:sz w:val="15"/>
          <w:szCs w:val="15"/>
        </w:rPr>
        <w:t>，代理。</w:t>
      </w:r>
      <w:r>
        <w:rPr>
          <w:rFonts w:ascii="宋体" w:hAnsi="宋体" w:cs="宋体"/>
          <w:sz w:val="15"/>
          <w:szCs w:val="15"/>
        </w:rPr>
        <w:t>8</w:t>
      </w:r>
      <w:r>
        <w:rPr>
          <w:rFonts w:hint="eastAsia" w:ascii="宋体" w:hAnsi="宋体" w:cs="宋体"/>
          <w:sz w:val="15"/>
          <w:szCs w:val="15"/>
        </w:rPr>
        <w:t>研究与开发项目的转移。</w:t>
      </w:r>
      <w:r>
        <w:rPr>
          <w:rFonts w:ascii="宋体" w:hAnsi="宋体" w:cs="宋体"/>
          <w:sz w:val="15"/>
          <w:szCs w:val="15"/>
        </w:rPr>
        <w:t>9</w:t>
      </w:r>
      <w:r>
        <w:rPr>
          <w:rFonts w:hint="eastAsia" w:ascii="宋体" w:hAnsi="宋体" w:cs="宋体"/>
          <w:sz w:val="15"/>
          <w:szCs w:val="15"/>
        </w:rPr>
        <w:t>许可协议。</w:t>
      </w:r>
      <w:r>
        <w:rPr>
          <w:rFonts w:ascii="宋体" w:hAnsi="宋体" w:cs="宋体"/>
          <w:sz w:val="15"/>
          <w:szCs w:val="15"/>
        </w:rPr>
        <w:t>10</w:t>
      </w:r>
      <w:r>
        <w:rPr>
          <w:rFonts w:hint="eastAsia" w:ascii="宋体" w:hAnsi="宋体" w:cs="宋体"/>
          <w:sz w:val="15"/>
          <w:szCs w:val="15"/>
        </w:rPr>
        <w:t>，代表企业或由企业代表另一方进行债务结算。</w:t>
      </w:r>
      <w:r>
        <w:rPr>
          <w:rFonts w:ascii="宋体" w:hAnsi="宋体" w:cs="宋体"/>
          <w:sz w:val="15"/>
          <w:szCs w:val="15"/>
        </w:rPr>
        <w:t>11</w:t>
      </w:r>
      <w:r>
        <w:rPr>
          <w:rFonts w:hint="eastAsia" w:ascii="宋体" w:hAnsi="宋体" w:cs="宋体"/>
          <w:sz w:val="15"/>
          <w:szCs w:val="15"/>
        </w:rPr>
        <w:t>，关键管理人员薪酬。</w:t>
      </w:r>
    </w:p>
    <w:p>
      <w:pPr>
        <w:autoSpaceDN w:val="0"/>
        <w:spacing w:line="160" w:lineRule="exact"/>
        <w:rPr>
          <w:rFonts w:ascii="宋体" w:cs="宋体"/>
          <w:sz w:val="15"/>
          <w:szCs w:val="15"/>
        </w:rPr>
      </w:pPr>
      <w:r>
        <w:rPr>
          <w:rFonts w:hint="eastAsia" w:ascii="宋体" w:hAnsi="宋体" w:cs="宋体"/>
          <w:b/>
          <w:sz w:val="15"/>
          <w:szCs w:val="15"/>
        </w:rPr>
        <w:t>存在控制关系的母公司和子公司信息的披露</w:t>
      </w:r>
      <w:r>
        <w:rPr>
          <w:rFonts w:hint="eastAsia" w:ascii="宋体" w:hAnsi="宋体" w:cs="宋体"/>
          <w:sz w:val="15"/>
          <w:szCs w:val="15"/>
        </w:rPr>
        <w:t>：企业无论是否发生关联方交易，均应当在附注中披露与企业存在控制关系的母公司和子公司的下列信息：</w:t>
      </w:r>
      <w:r>
        <w:rPr>
          <w:rFonts w:ascii="宋体" w:hAnsi="宋体" w:cs="宋体"/>
          <w:sz w:val="15"/>
          <w:szCs w:val="15"/>
        </w:rPr>
        <w:t>1</w:t>
      </w:r>
      <w:r>
        <w:rPr>
          <w:rFonts w:hint="eastAsia" w:ascii="宋体" w:hAnsi="宋体" w:cs="宋体"/>
          <w:sz w:val="15"/>
          <w:szCs w:val="15"/>
        </w:rPr>
        <w:t>，母公司和子公司的名称。</w:t>
      </w:r>
      <w:r>
        <w:rPr>
          <w:rFonts w:ascii="宋体" w:hAnsi="宋体" w:cs="宋体"/>
          <w:sz w:val="15"/>
          <w:szCs w:val="15"/>
        </w:rPr>
        <w:t>2</w:t>
      </w:r>
      <w:r>
        <w:rPr>
          <w:rFonts w:hint="eastAsia" w:ascii="宋体" w:hAnsi="宋体" w:cs="宋体"/>
          <w:sz w:val="15"/>
          <w:szCs w:val="15"/>
        </w:rPr>
        <w:t>，母公司和子公司的业务性质、注册地、注册资本或实收资本，股本及其变化。</w:t>
      </w:r>
      <w:r>
        <w:rPr>
          <w:rFonts w:ascii="宋体" w:hAnsi="宋体" w:cs="宋体"/>
          <w:sz w:val="15"/>
          <w:szCs w:val="15"/>
        </w:rPr>
        <w:t>3</w:t>
      </w:r>
      <w:r>
        <w:rPr>
          <w:rFonts w:hint="eastAsia" w:ascii="宋体" w:hAnsi="宋体" w:cs="宋体"/>
          <w:sz w:val="15"/>
          <w:szCs w:val="15"/>
        </w:rPr>
        <w:t>，母公司对企业（指企业为子公司情况下）或该企业（指企业为母公司情况下）对子公司的持股比例和表决权比例。</w:t>
      </w:r>
    </w:p>
    <w:p>
      <w:pPr>
        <w:autoSpaceDN w:val="0"/>
        <w:spacing w:line="160" w:lineRule="exact"/>
        <w:rPr>
          <w:rFonts w:ascii="宋体" w:cs="宋体"/>
          <w:sz w:val="15"/>
          <w:szCs w:val="15"/>
        </w:rPr>
      </w:pPr>
      <w:r>
        <w:rPr>
          <w:rFonts w:hint="eastAsia" w:ascii="宋体" w:hAnsi="宋体" w:cs="宋体"/>
          <w:sz w:val="15"/>
          <w:szCs w:val="15"/>
        </w:rPr>
        <w:t>判断关联方交易是否重要，不应以交易金额的大小作为判断标准，而依据交易对企业财务状况和经营成果的影响程度确定。</w:t>
      </w:r>
    </w:p>
    <w:p>
      <w:pPr>
        <w:autoSpaceDN w:val="0"/>
        <w:spacing w:line="160" w:lineRule="exact"/>
        <w:rPr>
          <w:rFonts w:ascii="宋体" w:cs="宋体"/>
          <w:sz w:val="15"/>
          <w:szCs w:val="15"/>
        </w:rPr>
      </w:pPr>
      <w:r>
        <w:rPr>
          <w:rFonts w:hint="eastAsia" w:ascii="宋体" w:hAnsi="宋体" w:cs="宋体"/>
          <w:b/>
          <w:sz w:val="15"/>
          <w:szCs w:val="15"/>
        </w:rPr>
        <w:t>租凭</w:t>
      </w:r>
      <w:r>
        <w:rPr>
          <w:rFonts w:hint="eastAsia" w:ascii="宋体" w:hAnsi="宋体" w:cs="宋体"/>
          <w:sz w:val="15"/>
          <w:szCs w:val="15"/>
        </w:rPr>
        <w:t>是通过协议由资产的所有者将其使用权让渡另一方以获得租金报酬的一种经济活动形式。</w:t>
      </w:r>
    </w:p>
    <w:p>
      <w:pPr>
        <w:autoSpaceDN w:val="0"/>
        <w:spacing w:line="160" w:lineRule="exact"/>
        <w:rPr>
          <w:rFonts w:ascii="宋体" w:cs="宋体"/>
          <w:sz w:val="15"/>
          <w:szCs w:val="15"/>
        </w:rPr>
      </w:pPr>
      <w:r>
        <w:rPr>
          <w:rFonts w:hint="eastAsia" w:ascii="宋体" w:hAnsi="宋体" w:cs="宋体"/>
          <w:b/>
          <w:bCs/>
          <w:sz w:val="15"/>
          <w:szCs w:val="15"/>
        </w:rPr>
        <w:t>租赁业务的分类</w:t>
      </w:r>
      <w:r>
        <w:rPr>
          <w:rFonts w:hint="eastAsia" w:ascii="宋体" w:hAnsi="宋体" w:cs="宋体"/>
          <w:sz w:val="15"/>
          <w:szCs w:val="15"/>
        </w:rPr>
        <w:t>租凭的目的经营租凭和融资租凭。经营租凭，是为满足经营使用上的临时或季节性需要而发生的资产租凭。融资租凭，是出租方和承租方在资产租凭合同中约定租金总额后，承租方定期支付租金，同时对租入固定资产末付租金部分计付利息。</w:t>
      </w:r>
      <w:r>
        <w:rPr>
          <w:rFonts w:ascii="宋体" w:hAnsi="宋体" w:cs="宋体"/>
          <w:sz w:val="15"/>
          <w:szCs w:val="15"/>
        </w:rPr>
        <w:t>2</w:t>
      </w:r>
      <w:r>
        <w:rPr>
          <w:rFonts w:hint="eastAsia" w:ascii="宋体" w:hAnsi="宋体" w:cs="宋体"/>
          <w:sz w:val="15"/>
          <w:szCs w:val="15"/>
        </w:rPr>
        <w:t>，按租凭资产投资来源分类，直接租凭，杠杆租凭，售后租凭和转租凭。</w:t>
      </w:r>
    </w:p>
    <w:p>
      <w:pPr>
        <w:autoSpaceDN w:val="0"/>
        <w:spacing w:line="160" w:lineRule="exact"/>
        <w:rPr>
          <w:rFonts w:ascii="宋体" w:cs="宋体"/>
          <w:sz w:val="15"/>
          <w:szCs w:val="15"/>
        </w:rPr>
      </w:pPr>
      <w:r>
        <w:rPr>
          <w:rFonts w:hint="eastAsia" w:ascii="宋体" w:hAnsi="宋体" w:cs="宋体"/>
          <w:b/>
          <w:sz w:val="15"/>
          <w:szCs w:val="15"/>
        </w:rPr>
        <w:t>租凭会计概念：</w:t>
      </w:r>
      <w:r>
        <w:rPr>
          <w:rFonts w:hint="eastAsia" w:ascii="宋体" w:hAnsi="宋体" w:cs="宋体"/>
          <w:sz w:val="15"/>
          <w:szCs w:val="15"/>
        </w:rPr>
        <w:t>是管理租凭业务活动的一种专门会计。是运用会计学的理论和方法，以货币作为计量单位，对企业租凭活动进行综合，全面，连续和系统地反映，监察和管理。</w:t>
      </w:r>
    </w:p>
    <w:p>
      <w:pPr>
        <w:autoSpaceDN w:val="0"/>
        <w:spacing w:line="160" w:lineRule="exact"/>
        <w:rPr>
          <w:rFonts w:ascii="宋体" w:cs="宋体"/>
          <w:sz w:val="15"/>
          <w:szCs w:val="15"/>
        </w:rPr>
      </w:pPr>
      <w:r>
        <w:rPr>
          <w:rFonts w:hint="eastAsia" w:ascii="宋体" w:hAnsi="宋体" w:cs="宋体"/>
          <w:b/>
          <w:bCs/>
          <w:sz w:val="15"/>
          <w:szCs w:val="15"/>
        </w:rPr>
        <w:t>担保余值，</w:t>
      </w:r>
      <w:r>
        <w:rPr>
          <w:rFonts w:hint="eastAsia" w:ascii="宋体" w:hAnsi="宋体" w:cs="宋体"/>
          <w:sz w:val="15"/>
          <w:szCs w:val="15"/>
        </w:rPr>
        <w:t>就是承租人而言，是指由承租人或其有关的第三方担保的资产余值：就是出租人而言，是指就是承租人而言的担保余值加上独立于承租人和出租人的第三方担保资产余值。</w:t>
      </w:r>
    </w:p>
    <w:p>
      <w:pPr>
        <w:autoSpaceDN w:val="0"/>
        <w:spacing w:line="160" w:lineRule="exact"/>
        <w:rPr>
          <w:rFonts w:ascii="宋体" w:cs="宋体"/>
          <w:sz w:val="15"/>
          <w:szCs w:val="15"/>
        </w:rPr>
      </w:pPr>
      <w:r>
        <w:rPr>
          <w:rFonts w:hint="eastAsia" w:ascii="宋体" w:hAnsi="宋体" w:cs="宋体"/>
          <w:b/>
          <w:sz w:val="15"/>
          <w:szCs w:val="15"/>
        </w:rPr>
        <w:t>租凭会计核算的基本内容</w:t>
      </w:r>
      <w:r>
        <w:rPr>
          <w:rFonts w:hint="eastAsia" w:ascii="宋体" w:hAnsi="宋体" w:cs="宋体"/>
          <w:sz w:val="15"/>
          <w:szCs w:val="15"/>
        </w:rPr>
        <w:t>：</w:t>
      </w:r>
      <w:r>
        <w:rPr>
          <w:rFonts w:ascii="宋体" w:hAnsi="宋体" w:cs="宋体"/>
          <w:sz w:val="15"/>
          <w:szCs w:val="15"/>
        </w:rPr>
        <w:t>1</w:t>
      </w:r>
      <w:r>
        <w:rPr>
          <w:rFonts w:hint="eastAsia" w:ascii="宋体" w:hAnsi="宋体" w:cs="宋体"/>
          <w:sz w:val="15"/>
          <w:szCs w:val="15"/>
        </w:rPr>
        <w:t>，出租人会计核算。</w:t>
      </w:r>
      <w:r>
        <w:rPr>
          <w:rFonts w:ascii="宋体" w:hAnsi="宋体" w:cs="宋体"/>
          <w:sz w:val="15"/>
          <w:szCs w:val="15"/>
        </w:rPr>
        <w:t>2</w:t>
      </w:r>
      <w:r>
        <w:rPr>
          <w:rFonts w:hint="eastAsia" w:ascii="宋体" w:hAnsi="宋体" w:cs="宋体"/>
          <w:sz w:val="15"/>
          <w:szCs w:val="15"/>
        </w:rPr>
        <w:t>，经营租凭业务核算。</w:t>
      </w:r>
      <w:r>
        <w:rPr>
          <w:rFonts w:ascii="宋体" w:hAnsi="宋体" w:cs="宋体"/>
          <w:sz w:val="15"/>
          <w:szCs w:val="15"/>
        </w:rPr>
        <w:t>3</w:t>
      </w:r>
      <w:r>
        <w:rPr>
          <w:rFonts w:hint="eastAsia" w:ascii="宋体" w:hAnsi="宋体" w:cs="宋体"/>
          <w:sz w:val="15"/>
          <w:szCs w:val="15"/>
        </w:rPr>
        <w:t>，租凭届满时资产的处置。</w:t>
      </w:r>
      <w:r>
        <w:rPr>
          <w:rFonts w:ascii="宋体" w:hAnsi="宋体" w:cs="宋体"/>
          <w:sz w:val="15"/>
          <w:szCs w:val="15"/>
        </w:rPr>
        <w:t>4</w:t>
      </w:r>
      <w:r>
        <w:rPr>
          <w:rFonts w:hint="eastAsia" w:ascii="宋体" w:hAnsi="宋体" w:cs="宋体"/>
          <w:sz w:val="15"/>
          <w:szCs w:val="15"/>
        </w:rPr>
        <w:t>，出租人融资租凭与经营租凭在财务报表中的列示及在报表附注中的披露。</w:t>
      </w:r>
    </w:p>
    <w:p>
      <w:pPr>
        <w:autoSpaceDN w:val="0"/>
        <w:spacing w:line="160" w:lineRule="exact"/>
        <w:rPr>
          <w:rFonts w:ascii="宋体" w:cs="宋体"/>
          <w:sz w:val="15"/>
          <w:szCs w:val="15"/>
        </w:rPr>
      </w:pPr>
      <w:r>
        <w:rPr>
          <w:rFonts w:hint="eastAsia" w:ascii="宋体" w:hAnsi="宋体" w:cs="宋体"/>
          <w:b/>
          <w:sz w:val="15"/>
          <w:szCs w:val="15"/>
        </w:rPr>
        <w:t>承租人会计核算内容</w:t>
      </w:r>
      <w:r>
        <w:rPr>
          <w:rFonts w:hint="eastAsia" w:ascii="宋体" w:hAnsi="宋体" w:cs="宋体"/>
          <w:sz w:val="15"/>
          <w:szCs w:val="15"/>
        </w:rPr>
        <w:t>：</w:t>
      </w:r>
      <w:r>
        <w:rPr>
          <w:rFonts w:ascii="宋体" w:hAnsi="宋体" w:cs="宋体"/>
          <w:sz w:val="15"/>
          <w:szCs w:val="15"/>
        </w:rPr>
        <w:t>1</w:t>
      </w:r>
      <w:r>
        <w:rPr>
          <w:rFonts w:hint="eastAsia" w:ascii="宋体" w:hAnsi="宋体" w:cs="宋体"/>
          <w:sz w:val="15"/>
          <w:szCs w:val="15"/>
        </w:rPr>
        <w:t>，融资租凭业务核算。</w:t>
      </w:r>
      <w:r>
        <w:rPr>
          <w:rFonts w:ascii="宋体" w:hAnsi="宋体" w:cs="宋体"/>
          <w:sz w:val="15"/>
          <w:szCs w:val="15"/>
        </w:rPr>
        <w:t>2</w:t>
      </w:r>
      <w:r>
        <w:rPr>
          <w:rFonts w:hint="eastAsia" w:ascii="宋体" w:hAnsi="宋体" w:cs="宋体"/>
          <w:sz w:val="15"/>
          <w:szCs w:val="15"/>
        </w:rPr>
        <w:t>，经营租凭业务核算。</w:t>
      </w:r>
      <w:r>
        <w:rPr>
          <w:rFonts w:ascii="宋体" w:hAnsi="宋体" w:cs="宋体"/>
          <w:sz w:val="15"/>
          <w:szCs w:val="15"/>
        </w:rPr>
        <w:t>3</w:t>
      </w:r>
      <w:r>
        <w:rPr>
          <w:rFonts w:hint="eastAsia" w:ascii="宋体" w:hAnsi="宋体" w:cs="宋体"/>
          <w:sz w:val="15"/>
          <w:szCs w:val="15"/>
        </w:rPr>
        <w:t>，租期届满时租凭资产的处理。</w:t>
      </w:r>
      <w:r>
        <w:rPr>
          <w:rFonts w:ascii="宋体" w:hAnsi="宋体" w:cs="宋体"/>
          <w:sz w:val="15"/>
          <w:szCs w:val="15"/>
        </w:rPr>
        <w:t>4</w:t>
      </w:r>
      <w:r>
        <w:rPr>
          <w:rFonts w:hint="eastAsia" w:ascii="宋体" w:hAnsi="宋体" w:cs="宋体"/>
          <w:sz w:val="15"/>
          <w:szCs w:val="15"/>
        </w:rPr>
        <w:t>，出租人融资与经营租凭在财务报表中的列示及在报表附注中的披露。</w:t>
      </w:r>
    </w:p>
    <w:p>
      <w:pPr>
        <w:autoSpaceDN w:val="0"/>
        <w:spacing w:line="160" w:lineRule="exact"/>
        <w:rPr>
          <w:rFonts w:ascii="宋体" w:cs="宋体"/>
          <w:sz w:val="15"/>
          <w:szCs w:val="15"/>
        </w:rPr>
      </w:pPr>
      <w:r>
        <w:rPr>
          <w:rFonts w:hint="eastAsia" w:ascii="宋体" w:hAnsi="宋体" w:cs="宋体"/>
          <w:b/>
          <w:sz w:val="15"/>
          <w:szCs w:val="15"/>
        </w:rPr>
        <w:t>经营租凭</w:t>
      </w:r>
      <w:r>
        <w:rPr>
          <w:rFonts w:hint="eastAsia" w:ascii="宋体" w:hAnsi="宋体" w:cs="宋体"/>
          <w:sz w:val="15"/>
          <w:szCs w:val="15"/>
        </w:rPr>
        <w:t>是指除融资租凭以外的其他租凭。</w:t>
      </w:r>
      <w:r>
        <w:rPr>
          <w:rFonts w:ascii="宋体" w:hAnsi="宋体" w:cs="宋体"/>
          <w:sz w:val="15"/>
          <w:szCs w:val="15"/>
        </w:rPr>
        <w:t xml:space="preserve"> </w:t>
      </w:r>
    </w:p>
    <w:p>
      <w:pPr>
        <w:autoSpaceDN w:val="0"/>
        <w:spacing w:line="160" w:lineRule="exact"/>
        <w:rPr>
          <w:rFonts w:ascii="宋体" w:cs="宋体"/>
          <w:sz w:val="15"/>
          <w:szCs w:val="15"/>
        </w:rPr>
      </w:pPr>
      <w:r>
        <w:rPr>
          <w:rFonts w:hint="eastAsia" w:ascii="宋体" w:hAnsi="宋体" w:cs="宋体"/>
          <w:b/>
          <w:bCs/>
          <w:sz w:val="15"/>
          <w:szCs w:val="15"/>
        </w:rPr>
        <w:t>对承租人会计规定的管理</w:t>
      </w:r>
      <w:r>
        <w:rPr>
          <w:rFonts w:ascii="宋体" w:hAnsi="宋体" w:cs="宋体"/>
          <w:sz w:val="15"/>
          <w:szCs w:val="15"/>
        </w:rPr>
        <w:t xml:space="preserve"> </w:t>
      </w:r>
      <w:r>
        <w:rPr>
          <w:rFonts w:hint="eastAsia" w:ascii="宋体" w:hAnsi="宋体" w:cs="宋体"/>
          <w:sz w:val="15"/>
          <w:szCs w:val="15"/>
        </w:rPr>
        <w:t>承租人发生的初始直接费用，应当计入当期损益。初始直接费用是指承租人在租凭谈判和签订租凭合同过程中发生的，可归属于租凭项目的手续费，律师费，差旅费，印花税等。</w:t>
      </w:r>
    </w:p>
    <w:p>
      <w:pPr>
        <w:autoSpaceDN w:val="0"/>
        <w:spacing w:line="160" w:lineRule="exact"/>
        <w:rPr>
          <w:rFonts w:ascii="宋体" w:cs="宋体"/>
          <w:sz w:val="15"/>
          <w:szCs w:val="15"/>
        </w:rPr>
      </w:pPr>
      <w:r>
        <w:rPr>
          <w:rFonts w:hint="eastAsia" w:ascii="宋体" w:hAnsi="宋体" w:cs="宋体"/>
          <w:b/>
          <w:bCs/>
          <w:sz w:val="15"/>
          <w:szCs w:val="15"/>
        </w:rPr>
        <w:t>融资租赁的业务判定；符合下列一项或数项标准，应可以认定为融资租凭业务。</w:t>
      </w:r>
      <w:r>
        <w:rPr>
          <w:rFonts w:ascii="宋体" w:hAnsi="宋体" w:cs="宋体"/>
          <w:sz w:val="15"/>
          <w:szCs w:val="15"/>
        </w:rPr>
        <w:t>1</w:t>
      </w:r>
      <w:r>
        <w:rPr>
          <w:rFonts w:hint="eastAsia" w:ascii="宋体" w:hAnsi="宋体" w:cs="宋体"/>
          <w:sz w:val="15"/>
          <w:szCs w:val="15"/>
        </w:rPr>
        <w:t>，在租凭期届满时，租凭资产的所有权转移给承租人。</w:t>
      </w:r>
      <w:r>
        <w:rPr>
          <w:rFonts w:ascii="宋体" w:hAnsi="宋体" w:cs="宋体"/>
          <w:sz w:val="15"/>
          <w:szCs w:val="15"/>
        </w:rPr>
        <w:t>2</w:t>
      </w:r>
      <w:r>
        <w:rPr>
          <w:rFonts w:hint="eastAsia" w:ascii="宋体" w:hAnsi="宋体" w:cs="宋体"/>
          <w:sz w:val="15"/>
          <w:szCs w:val="15"/>
        </w:rPr>
        <w:t>，承租人有购买租凭资产的选择权，所订立的购买价款预计将远低于行使选择权时租凭资产的公允价值，因而在租凭开始日就可以合理确定承租人将会行使这种选择权。</w:t>
      </w:r>
      <w:r>
        <w:rPr>
          <w:rFonts w:ascii="宋体" w:hAnsi="宋体" w:cs="宋体"/>
          <w:sz w:val="15"/>
          <w:szCs w:val="15"/>
        </w:rPr>
        <w:t>3</w:t>
      </w:r>
      <w:r>
        <w:rPr>
          <w:rFonts w:hint="eastAsia" w:ascii="宋体" w:hAnsi="宋体" w:cs="宋体"/>
          <w:sz w:val="15"/>
          <w:szCs w:val="15"/>
        </w:rPr>
        <w:t>，资产的所有权即使不转让，但是，租凭期占租凭资产使用寿命的大部分。</w:t>
      </w:r>
      <w:r>
        <w:rPr>
          <w:rFonts w:ascii="宋体" w:hAnsi="宋体" w:cs="宋体"/>
          <w:sz w:val="15"/>
          <w:szCs w:val="15"/>
        </w:rPr>
        <w:t>4</w:t>
      </w:r>
      <w:r>
        <w:rPr>
          <w:rFonts w:hint="eastAsia" w:ascii="宋体" w:hAnsi="宋体" w:cs="宋体"/>
          <w:sz w:val="15"/>
          <w:szCs w:val="15"/>
        </w:rPr>
        <w:t>，承租人在租凭开始日的最低租凭付款额现值，几乎相当于租凭开始人租凭资产公允价值，出租人在租凭开始日的最低租凭收款额现值，几乎相当于租凭开始日租凭资产公允价值。</w:t>
      </w:r>
      <w:r>
        <w:rPr>
          <w:rFonts w:ascii="宋体" w:hAnsi="宋体" w:cs="宋体"/>
          <w:sz w:val="15"/>
          <w:szCs w:val="15"/>
        </w:rPr>
        <w:t xml:space="preserve"> </w:t>
      </w:r>
      <w:r>
        <w:rPr>
          <w:rFonts w:hint="eastAsia" w:ascii="宋体" w:hAnsi="宋体" w:cs="宋体"/>
          <w:sz w:val="15"/>
          <w:szCs w:val="15"/>
        </w:rPr>
        <w:t>最低租凭收款额是指最低租凭付款额加上独立承租人和出租人的第三方对出租人担保的资产余值。</w:t>
      </w:r>
      <w:r>
        <w:rPr>
          <w:rFonts w:ascii="宋体" w:hAnsi="宋体" w:cs="宋体"/>
          <w:sz w:val="15"/>
          <w:szCs w:val="15"/>
        </w:rPr>
        <w:t>5</w:t>
      </w:r>
      <w:r>
        <w:rPr>
          <w:rFonts w:hint="eastAsia" w:ascii="宋体" w:hAnsi="宋体" w:cs="宋体"/>
          <w:sz w:val="15"/>
          <w:szCs w:val="15"/>
        </w:rPr>
        <w:t>，租凭资产性质特殊，如果不作较大改造，只有承租人才能使用。</w:t>
      </w:r>
    </w:p>
    <w:p>
      <w:pPr>
        <w:autoSpaceDN w:val="0"/>
        <w:spacing w:line="160" w:lineRule="exact"/>
        <w:rPr>
          <w:rFonts w:ascii="宋体" w:cs="宋体"/>
          <w:sz w:val="15"/>
          <w:szCs w:val="15"/>
        </w:rPr>
      </w:pPr>
      <w:r>
        <w:rPr>
          <w:rFonts w:hint="eastAsia" w:ascii="宋体" w:hAnsi="宋体" w:cs="宋体"/>
          <w:b/>
          <w:sz w:val="15"/>
          <w:szCs w:val="15"/>
        </w:rPr>
        <w:t>承租人融资租凭业务核算的规定：</w:t>
      </w:r>
      <w:r>
        <w:rPr>
          <w:rFonts w:ascii="宋体" w:hAnsi="宋体" w:cs="宋体"/>
          <w:sz w:val="15"/>
          <w:szCs w:val="15"/>
        </w:rPr>
        <w:t>1</w:t>
      </w:r>
      <w:r>
        <w:rPr>
          <w:rFonts w:hint="eastAsia" w:ascii="宋体" w:hAnsi="宋体" w:cs="宋体"/>
          <w:sz w:val="15"/>
          <w:szCs w:val="15"/>
        </w:rPr>
        <w:t>，在租凭期开始日，承租人应当将租凭开始日租凭资产公允价值与最低租付款额现值两者中较低者作为租入资产的入账价值，，将最低租凭付款作为长期应付款的入账价值，</w:t>
      </w:r>
      <w:r>
        <w:rPr>
          <w:rFonts w:ascii="宋体" w:hAnsi="宋体" w:cs="宋体"/>
          <w:sz w:val="15"/>
          <w:szCs w:val="15"/>
        </w:rPr>
        <w:t xml:space="preserve"> </w:t>
      </w:r>
      <w:r>
        <w:rPr>
          <w:rFonts w:hint="eastAsia" w:ascii="宋体" w:hAnsi="宋体" w:cs="宋体"/>
          <w:sz w:val="15"/>
          <w:szCs w:val="15"/>
        </w:rPr>
        <w:t>其差额作为未确认融资费用。</w:t>
      </w:r>
      <w:r>
        <w:rPr>
          <w:rFonts w:ascii="宋体" w:hAnsi="宋体" w:cs="宋体"/>
          <w:sz w:val="15"/>
          <w:szCs w:val="15"/>
        </w:rPr>
        <w:t>2</w:t>
      </w:r>
      <w:r>
        <w:rPr>
          <w:rFonts w:hint="eastAsia" w:ascii="宋体" w:hAnsi="宋体" w:cs="宋体"/>
          <w:sz w:val="15"/>
          <w:szCs w:val="15"/>
        </w:rPr>
        <w:t>，承租人在计算最低租凭付款额的现值时，能够取得出租人租凭内含利率的，应当采用租凭内含利率作为折现率，否则，应当采用租凭合同的规定的利率作为折现率。</w:t>
      </w:r>
      <w:r>
        <w:rPr>
          <w:rFonts w:ascii="宋体" w:hAnsi="宋体" w:cs="宋体"/>
          <w:sz w:val="15"/>
          <w:szCs w:val="15"/>
        </w:rPr>
        <w:t>3</w:t>
      </w:r>
      <w:r>
        <w:rPr>
          <w:rFonts w:hint="eastAsia" w:ascii="宋体" w:hAnsi="宋体" w:cs="宋体"/>
          <w:sz w:val="15"/>
          <w:szCs w:val="15"/>
        </w:rPr>
        <w:t>，未确定融资费用应当在租凭期内各个期间进行分摊。</w:t>
      </w:r>
      <w:r>
        <w:rPr>
          <w:rFonts w:ascii="宋体" w:hAnsi="宋体" w:cs="宋体"/>
          <w:sz w:val="15"/>
          <w:szCs w:val="15"/>
        </w:rPr>
        <w:t>4</w:t>
      </w:r>
      <w:r>
        <w:rPr>
          <w:rFonts w:hint="eastAsia" w:ascii="宋体" w:hAnsi="宋体" w:cs="宋体"/>
          <w:sz w:val="15"/>
          <w:szCs w:val="15"/>
        </w:rPr>
        <w:t>，承租人应当采用与自有资产相一致的折旧政策计提租凭资产折旧。</w:t>
      </w:r>
      <w:r>
        <w:rPr>
          <w:rFonts w:ascii="宋体" w:hAnsi="宋体" w:cs="宋体"/>
          <w:sz w:val="15"/>
          <w:szCs w:val="15"/>
        </w:rPr>
        <w:t>5</w:t>
      </w:r>
      <w:r>
        <w:rPr>
          <w:rFonts w:hint="eastAsia" w:ascii="宋体" w:hAnsi="宋体" w:cs="宋体"/>
          <w:sz w:val="15"/>
          <w:szCs w:val="15"/>
        </w:rPr>
        <w:t>，或由租金应当在实际发生时计入当期损益。</w:t>
      </w:r>
    </w:p>
    <w:p>
      <w:pPr>
        <w:autoSpaceDN w:val="0"/>
        <w:spacing w:line="160" w:lineRule="exact"/>
        <w:rPr>
          <w:rFonts w:ascii="宋体" w:cs="宋体"/>
          <w:sz w:val="15"/>
          <w:szCs w:val="15"/>
        </w:rPr>
      </w:pPr>
      <w:r>
        <w:rPr>
          <w:rFonts w:hint="eastAsia" w:ascii="宋体" w:hAnsi="宋体" w:cs="宋体"/>
          <w:b/>
          <w:sz w:val="15"/>
          <w:szCs w:val="15"/>
        </w:rPr>
        <w:t>出租规定：</w:t>
      </w:r>
      <w:r>
        <w:rPr>
          <w:rFonts w:ascii="宋体" w:hAnsi="宋体" w:cs="宋体"/>
          <w:sz w:val="15"/>
          <w:szCs w:val="15"/>
        </w:rPr>
        <w:t>1</w:t>
      </w:r>
      <w:r>
        <w:rPr>
          <w:rFonts w:hint="eastAsia" w:ascii="宋体" w:hAnsi="宋体" w:cs="宋体"/>
          <w:sz w:val="15"/>
          <w:szCs w:val="15"/>
        </w:rPr>
        <w:t>，在租凭期开始日，出租人应当将租凭开始日最低租凭收款额与初始直接费用之和作为应收融资租凭款的入账价值，同时记录未担保余值，将最低租凭收款额、初始直接费用及未担保余值之和与其现值之和的差额确认为未时间融资收益。</w:t>
      </w:r>
      <w:r>
        <w:rPr>
          <w:rFonts w:ascii="宋体" w:hAnsi="宋体" w:cs="宋体"/>
          <w:sz w:val="15"/>
          <w:szCs w:val="15"/>
        </w:rPr>
        <w:t>2</w:t>
      </w:r>
      <w:r>
        <w:rPr>
          <w:rFonts w:hint="eastAsia" w:ascii="宋体" w:hAnsi="宋体" w:cs="宋体"/>
          <w:sz w:val="15"/>
          <w:szCs w:val="15"/>
        </w:rPr>
        <w:t>，未实现融资收益应当在租凭期内各个会计期间进行分配，分配是应当采用实际利率计算确认当期的融资收入。</w:t>
      </w:r>
      <w:r>
        <w:rPr>
          <w:rFonts w:ascii="宋体" w:hAnsi="宋体" w:cs="宋体"/>
          <w:sz w:val="15"/>
          <w:szCs w:val="15"/>
        </w:rPr>
        <w:t>3</w:t>
      </w:r>
      <w:r>
        <w:rPr>
          <w:rFonts w:hint="eastAsia" w:ascii="宋体" w:hAnsi="宋体" w:cs="宋体"/>
          <w:sz w:val="15"/>
          <w:szCs w:val="15"/>
        </w:rPr>
        <w:t>，应当在每年年度终了，对未担保余值进行复核。</w:t>
      </w:r>
      <w:r>
        <w:rPr>
          <w:rFonts w:ascii="宋体" w:hAnsi="宋体" w:cs="宋体"/>
          <w:sz w:val="15"/>
          <w:szCs w:val="15"/>
        </w:rPr>
        <w:t>4</w:t>
      </w:r>
      <w:r>
        <w:rPr>
          <w:rFonts w:hint="eastAsia" w:ascii="宋体" w:hAnsi="宋体" w:cs="宋体"/>
          <w:sz w:val="15"/>
          <w:szCs w:val="15"/>
        </w:rPr>
        <w:t>，或有租金应当在实际发生时计入当期损益。</w:t>
      </w:r>
    </w:p>
    <w:p>
      <w:pPr>
        <w:autoSpaceDN w:val="0"/>
        <w:spacing w:line="160" w:lineRule="exact"/>
        <w:rPr>
          <w:rFonts w:ascii="宋体" w:cs="宋体"/>
          <w:sz w:val="15"/>
          <w:szCs w:val="15"/>
        </w:rPr>
      </w:pPr>
      <w:r>
        <w:rPr>
          <w:rFonts w:hint="eastAsia" w:ascii="宋体" w:hAnsi="宋体" w:cs="宋体"/>
          <w:sz w:val="15"/>
          <w:szCs w:val="15"/>
        </w:rPr>
        <w:t>确定租凭资产入账价值：</w:t>
      </w:r>
      <w:r>
        <w:rPr>
          <w:rFonts w:ascii="宋体" w:hAnsi="宋体" w:cs="宋体"/>
          <w:sz w:val="15"/>
          <w:szCs w:val="15"/>
        </w:rPr>
        <w:t>A.</w:t>
      </w:r>
      <w:r>
        <w:rPr>
          <w:rFonts w:hint="eastAsia" w:ascii="宋体" w:hAnsi="宋体" w:cs="宋体"/>
          <w:sz w:val="15"/>
          <w:szCs w:val="15"/>
        </w:rPr>
        <w:t>计算租凭期开始日最低租凭付款额的现值</w:t>
      </w:r>
      <w:r>
        <w:rPr>
          <w:rFonts w:ascii="宋体" w:hAnsi="宋体" w:cs="宋体"/>
          <w:sz w:val="15"/>
          <w:szCs w:val="15"/>
        </w:rPr>
        <w:t xml:space="preserve"> B.</w:t>
      </w:r>
      <w:r>
        <w:rPr>
          <w:rFonts w:hint="eastAsia" w:ascii="宋体" w:hAnsi="宋体" w:cs="宋体"/>
          <w:sz w:val="15"/>
          <w:szCs w:val="15"/>
        </w:rPr>
        <w:t>选择租入资产入账价。在最低租凭付款额现值和租凭资产公允价之间选择价值最低作为租入资产入账价。</w:t>
      </w:r>
      <w:r>
        <w:rPr>
          <w:rFonts w:ascii="宋体" w:hAnsi="宋体" w:cs="宋体"/>
          <w:sz w:val="15"/>
          <w:szCs w:val="15"/>
        </w:rPr>
        <w:t xml:space="preserve"> C.</w:t>
      </w:r>
      <w:r>
        <w:rPr>
          <w:rFonts w:hint="eastAsia" w:ascii="宋体" w:hAnsi="宋体" w:cs="宋体"/>
          <w:sz w:val="15"/>
          <w:szCs w:val="15"/>
        </w:rPr>
        <w:t>计算为确认融资费用。</w:t>
      </w:r>
    </w:p>
    <w:p>
      <w:pPr>
        <w:autoSpaceDN w:val="0"/>
        <w:spacing w:line="160" w:lineRule="exact"/>
        <w:rPr>
          <w:rFonts w:ascii="宋体" w:cs="宋体"/>
          <w:sz w:val="15"/>
          <w:szCs w:val="15"/>
        </w:rPr>
      </w:pPr>
      <w:r>
        <w:rPr>
          <w:rFonts w:hint="eastAsia" w:ascii="宋体" w:hAnsi="宋体" w:cs="宋体"/>
          <w:b/>
          <w:sz w:val="15"/>
          <w:szCs w:val="15"/>
        </w:rPr>
        <w:t>售后租回业务概述：</w:t>
      </w:r>
      <w:r>
        <w:rPr>
          <w:rFonts w:hint="eastAsia" w:ascii="宋体" w:hAnsi="宋体" w:cs="宋体"/>
          <w:sz w:val="15"/>
          <w:szCs w:val="15"/>
        </w:rPr>
        <w:t>企业将自制或外购资产出售，然后向买方租回使用。</w:t>
      </w:r>
    </w:p>
    <w:p>
      <w:pPr>
        <w:autoSpaceDN w:val="0"/>
        <w:spacing w:line="160" w:lineRule="exact"/>
        <w:rPr>
          <w:rFonts w:ascii="宋体" w:cs="宋体"/>
          <w:sz w:val="15"/>
          <w:szCs w:val="15"/>
        </w:rPr>
      </w:pPr>
      <w:r>
        <w:rPr>
          <w:rFonts w:hint="eastAsia" w:ascii="宋体" w:hAnsi="宋体" w:cs="宋体"/>
          <w:b/>
          <w:bCs/>
          <w:sz w:val="15"/>
          <w:szCs w:val="15"/>
        </w:rPr>
        <w:t>我国租凭会计准则售后租回业务的规定：</w:t>
      </w:r>
      <w:r>
        <w:rPr>
          <w:rFonts w:hint="eastAsia" w:ascii="宋体" w:hAnsi="宋体" w:cs="宋体"/>
          <w:sz w:val="15"/>
          <w:szCs w:val="15"/>
        </w:rPr>
        <w:t>售后租回交易认定为融资租凭的，售价与资产账面价值之间的差额应当予以递延，并按照该项租凭资产的折旧进度进行分摊，作为折旧费用的调整。经营租凭的售价与资产账面价值之间的差额应当予以递延，并在租凭期内按照与确认租金费用相一致的方法进行分摊，作为租金费用的调整，计入当期损益。</w:t>
      </w:r>
    </w:p>
    <w:p>
      <w:pPr>
        <w:autoSpaceDN w:val="0"/>
        <w:spacing w:line="160" w:lineRule="exact"/>
        <w:rPr>
          <w:rFonts w:ascii="宋体" w:cs="宋体"/>
          <w:sz w:val="15"/>
          <w:szCs w:val="15"/>
        </w:rPr>
      </w:pPr>
      <w:r>
        <w:rPr>
          <w:rFonts w:hint="eastAsia" w:ascii="宋体" w:hAnsi="宋体" w:cs="宋体"/>
          <w:b/>
          <w:bCs/>
          <w:sz w:val="15"/>
          <w:szCs w:val="15"/>
        </w:rPr>
        <w:t>售后租回融资租赁的会计核算：</w:t>
      </w:r>
      <w:r>
        <w:rPr>
          <w:rFonts w:hint="eastAsia" w:ascii="宋体" w:hAnsi="宋体" w:cs="宋体"/>
          <w:sz w:val="15"/>
          <w:szCs w:val="15"/>
        </w:rPr>
        <w:t>在售后租回业务中，承租人出售资产的收入或损失时将其作为递延融资费用按折旧进度进行分配，调整折旧费用。</w:t>
      </w:r>
    </w:p>
    <w:p>
      <w:pPr>
        <w:autoSpaceDN w:val="0"/>
        <w:spacing w:line="160" w:lineRule="exact"/>
        <w:rPr>
          <w:rFonts w:ascii="宋体" w:cs="宋体"/>
          <w:sz w:val="15"/>
          <w:szCs w:val="15"/>
        </w:rPr>
      </w:pPr>
      <w:r>
        <w:rPr>
          <w:rFonts w:hint="eastAsia" w:ascii="宋体" w:hAnsi="宋体" w:cs="宋体"/>
          <w:b/>
          <w:sz w:val="15"/>
          <w:szCs w:val="15"/>
        </w:rPr>
        <w:t>金融工具的概念和内容</w:t>
      </w:r>
      <w:r>
        <w:rPr>
          <w:rFonts w:hint="eastAsia" w:ascii="宋体" w:hAnsi="宋体" w:cs="宋体"/>
          <w:sz w:val="15"/>
          <w:szCs w:val="15"/>
        </w:rPr>
        <w:t>：金融工具是在市场经济条件下，完成货币流通和银行信用的重要手段。它包括企业的金融资产、金融负债和权益工具。具体是指企业发行的普通股、在资本公积项下核算的认股权等。</w:t>
      </w:r>
    </w:p>
    <w:p>
      <w:pPr>
        <w:autoSpaceDN w:val="0"/>
        <w:spacing w:line="160" w:lineRule="exact"/>
        <w:rPr>
          <w:rFonts w:ascii="宋体" w:cs="宋体"/>
          <w:sz w:val="15"/>
          <w:szCs w:val="15"/>
        </w:rPr>
      </w:pPr>
      <w:r>
        <w:rPr>
          <w:rFonts w:ascii="宋体" w:hAnsi="宋体" w:cs="宋体"/>
          <w:sz w:val="15"/>
          <w:szCs w:val="15"/>
        </w:rPr>
        <w:t xml:space="preserve">  </w:t>
      </w:r>
      <w:r>
        <w:rPr>
          <w:rFonts w:hint="eastAsia" w:ascii="宋体" w:hAnsi="宋体" w:cs="宋体"/>
          <w:b/>
          <w:bCs/>
          <w:sz w:val="15"/>
          <w:szCs w:val="15"/>
        </w:rPr>
        <w:t>金融工具可以分为</w:t>
      </w:r>
      <w:r>
        <w:rPr>
          <w:rFonts w:hint="eastAsia" w:ascii="宋体" w:hAnsi="宋体" w:cs="宋体"/>
          <w:sz w:val="15"/>
          <w:szCs w:val="15"/>
        </w:rPr>
        <w:t>基础金融工具和衍生金融工具</w:t>
      </w:r>
      <w:r>
        <w:rPr>
          <w:rFonts w:ascii="宋体" w:hAnsi="宋体" w:cs="宋体"/>
          <w:sz w:val="15"/>
          <w:szCs w:val="15"/>
        </w:rPr>
        <w:t xml:space="preserve"> </w:t>
      </w:r>
      <w:r>
        <w:rPr>
          <w:rFonts w:hint="eastAsia" w:ascii="宋体" w:hAnsi="宋体" w:cs="宋体"/>
          <w:sz w:val="15"/>
          <w:szCs w:val="15"/>
        </w:rPr>
        <w:t>。</w:t>
      </w:r>
    </w:p>
    <w:p>
      <w:pPr>
        <w:autoSpaceDN w:val="0"/>
        <w:spacing w:line="160" w:lineRule="exact"/>
        <w:rPr>
          <w:rFonts w:ascii="宋体" w:cs="宋体"/>
          <w:sz w:val="15"/>
          <w:szCs w:val="15"/>
        </w:rPr>
      </w:pPr>
      <w:r>
        <w:rPr>
          <w:rFonts w:ascii="宋体" w:hAnsi="宋体" w:cs="宋体"/>
          <w:b/>
          <w:bCs/>
          <w:sz w:val="15"/>
          <w:szCs w:val="15"/>
        </w:rPr>
        <w:t xml:space="preserve"> </w:t>
      </w:r>
      <w:r>
        <w:rPr>
          <w:rFonts w:hint="eastAsia" w:ascii="宋体" w:hAnsi="宋体" w:cs="宋体"/>
          <w:b/>
          <w:bCs/>
          <w:sz w:val="15"/>
          <w:szCs w:val="15"/>
        </w:rPr>
        <w:t>基础金融工具的内容：</w:t>
      </w:r>
      <w:r>
        <w:rPr>
          <w:rFonts w:hint="eastAsia" w:ascii="宋体" w:hAnsi="宋体" w:cs="宋体"/>
          <w:sz w:val="15"/>
          <w:szCs w:val="15"/>
        </w:rPr>
        <w:t>如应收账款、应付账款、其他应收款、其他应付款、存出保证金、存入保证金、客户贷款、客户存款、债券投资、应付债券等。</w:t>
      </w:r>
    </w:p>
    <w:p>
      <w:pPr>
        <w:autoSpaceDN w:val="0"/>
        <w:spacing w:line="160" w:lineRule="exact"/>
        <w:rPr>
          <w:rFonts w:ascii="宋体" w:cs="宋体"/>
          <w:sz w:val="15"/>
          <w:szCs w:val="15"/>
        </w:rPr>
      </w:pPr>
      <w:r>
        <w:rPr>
          <w:rFonts w:hint="eastAsia" w:ascii="宋体" w:hAnsi="宋体" w:cs="宋体"/>
          <w:b/>
          <w:bCs/>
          <w:sz w:val="15"/>
          <w:szCs w:val="15"/>
        </w:rPr>
        <w:t>衍生金融工具：</w:t>
      </w:r>
      <w:r>
        <w:rPr>
          <w:rFonts w:hint="eastAsia" w:ascii="宋体" w:hAnsi="宋体" w:cs="宋体"/>
          <w:sz w:val="15"/>
          <w:szCs w:val="15"/>
        </w:rPr>
        <w:t>也称衍生工具，是指其价值随某些因素变动而变动，不要求初始净投资或很少净投资，以及在未来某一时期结算而形成的企业金融资产、金融负债和权益工具。</w:t>
      </w:r>
    </w:p>
    <w:p>
      <w:pPr>
        <w:autoSpaceDN w:val="0"/>
        <w:spacing w:line="160" w:lineRule="exact"/>
        <w:rPr>
          <w:rFonts w:ascii="宋体" w:cs="宋体"/>
          <w:sz w:val="15"/>
          <w:szCs w:val="15"/>
        </w:rPr>
      </w:pPr>
      <w:r>
        <w:rPr>
          <w:rFonts w:hint="eastAsia" w:ascii="宋体" w:hAnsi="宋体" w:cs="宋体"/>
          <w:b/>
          <w:bCs/>
          <w:sz w:val="15"/>
          <w:szCs w:val="15"/>
        </w:rPr>
        <w:t>衍生金融工具特征：</w:t>
      </w:r>
      <w:r>
        <w:rPr>
          <w:rFonts w:ascii="宋体" w:hAnsi="宋体" w:cs="宋体"/>
          <w:sz w:val="15"/>
          <w:szCs w:val="15"/>
        </w:rPr>
        <w:t>1</w:t>
      </w:r>
      <w:r>
        <w:rPr>
          <w:rFonts w:hint="eastAsia" w:ascii="宋体" w:hAnsi="宋体" w:cs="宋体"/>
          <w:sz w:val="15"/>
          <w:szCs w:val="15"/>
        </w:rPr>
        <w:t>，衍生金融工具价值随着特定利率、金融价格、商品价格、汇率、价格指数、费率指数、信用等级、信用指数或其他类似变量的变动而变动：变量为非金融变量的，该变量与合同的任一方不存在特定关系，其价值变动取决于标的变量的变化。</w:t>
      </w:r>
      <w:r>
        <w:rPr>
          <w:rFonts w:ascii="宋体" w:hAnsi="宋体" w:cs="宋体"/>
          <w:sz w:val="15"/>
          <w:szCs w:val="15"/>
        </w:rPr>
        <w:t>2</w:t>
      </w:r>
      <w:r>
        <w:rPr>
          <w:rFonts w:hint="eastAsia" w:ascii="宋体" w:hAnsi="宋体" w:cs="宋体"/>
          <w:sz w:val="15"/>
          <w:szCs w:val="15"/>
        </w:rPr>
        <w:t>，不要求初始净投资，或与对市场情况变动有类似反应的其他类型合同相比，要求很少的初始净投资。</w:t>
      </w:r>
      <w:r>
        <w:rPr>
          <w:rFonts w:ascii="宋体" w:hAnsi="宋体" w:cs="宋体"/>
          <w:sz w:val="15"/>
          <w:szCs w:val="15"/>
        </w:rPr>
        <w:t>3</w:t>
      </w:r>
      <w:r>
        <w:rPr>
          <w:rFonts w:hint="eastAsia" w:ascii="宋体" w:hAnsi="宋体" w:cs="宋体"/>
          <w:sz w:val="15"/>
          <w:szCs w:val="15"/>
        </w:rPr>
        <w:t>，在未来某一日期结算。</w:t>
      </w:r>
    </w:p>
    <w:p>
      <w:pPr>
        <w:autoSpaceDN w:val="0"/>
        <w:spacing w:line="160" w:lineRule="exact"/>
        <w:rPr>
          <w:rFonts w:ascii="宋体" w:cs="宋体"/>
          <w:sz w:val="15"/>
          <w:szCs w:val="15"/>
        </w:rPr>
      </w:pPr>
      <w:r>
        <w:rPr>
          <w:rFonts w:hint="eastAsia" w:ascii="宋体" w:hAnsi="宋体" w:cs="宋体"/>
          <w:b/>
          <w:bCs/>
          <w:sz w:val="15"/>
          <w:szCs w:val="15"/>
        </w:rPr>
        <w:t>衍生金融工具目前包括：</w:t>
      </w:r>
      <w:r>
        <w:rPr>
          <w:rFonts w:hint="eastAsia" w:ascii="宋体" w:hAnsi="宋体" w:cs="宋体"/>
          <w:sz w:val="15"/>
          <w:szCs w:val="15"/>
        </w:rPr>
        <w:t>远期合同、期货合同、互换和期权，以及具有远期合同、期货合同、互换和期权中一种或一种以上特征的工具。</w:t>
      </w:r>
    </w:p>
    <w:p>
      <w:pPr>
        <w:autoSpaceDN w:val="0"/>
        <w:spacing w:line="160" w:lineRule="exact"/>
        <w:rPr>
          <w:rFonts w:ascii="宋体" w:cs="宋体"/>
          <w:sz w:val="15"/>
          <w:szCs w:val="15"/>
        </w:rPr>
      </w:pPr>
      <w:r>
        <w:rPr>
          <w:rFonts w:ascii="宋体" w:hAnsi="宋体" w:cs="宋体"/>
          <w:sz w:val="15"/>
          <w:szCs w:val="15"/>
        </w:rPr>
        <w:t xml:space="preserve"> </w:t>
      </w:r>
      <w:r>
        <w:rPr>
          <w:rFonts w:ascii="宋体" w:hAnsi="宋体" w:cs="宋体"/>
          <w:b/>
          <w:bCs/>
          <w:sz w:val="15"/>
          <w:szCs w:val="15"/>
        </w:rPr>
        <w:t xml:space="preserve"> </w:t>
      </w:r>
      <w:r>
        <w:rPr>
          <w:rFonts w:hint="eastAsia" w:ascii="宋体" w:hAnsi="宋体" w:cs="宋体"/>
          <w:b/>
          <w:bCs/>
          <w:sz w:val="15"/>
          <w:szCs w:val="15"/>
        </w:rPr>
        <w:t>金融远期</w:t>
      </w:r>
      <w:r>
        <w:rPr>
          <w:rFonts w:hint="eastAsia" w:ascii="宋体" w:hAnsi="宋体" w:cs="宋体"/>
          <w:sz w:val="15"/>
          <w:szCs w:val="15"/>
        </w:rPr>
        <w:t>是指在确定的将来某一时间按照确定的价格购买或出售某项资产的合约。</w:t>
      </w:r>
      <w:r>
        <w:rPr>
          <w:rFonts w:ascii="宋体" w:hAnsi="宋体" w:cs="宋体"/>
          <w:sz w:val="15"/>
          <w:szCs w:val="15"/>
        </w:rPr>
        <w:t xml:space="preserve">   </w:t>
      </w:r>
    </w:p>
    <w:p>
      <w:pPr>
        <w:autoSpaceDN w:val="0"/>
        <w:spacing w:line="160" w:lineRule="exact"/>
        <w:rPr>
          <w:rFonts w:ascii="宋体" w:cs="宋体"/>
          <w:sz w:val="15"/>
          <w:szCs w:val="15"/>
        </w:rPr>
      </w:pPr>
      <w:r>
        <w:rPr>
          <w:rFonts w:hint="eastAsia" w:ascii="宋体" w:hAnsi="宋体" w:cs="宋体"/>
          <w:b/>
          <w:bCs/>
          <w:sz w:val="15"/>
          <w:szCs w:val="15"/>
        </w:rPr>
        <w:t>金融期货。</w:t>
      </w:r>
      <w:r>
        <w:rPr>
          <w:rFonts w:hint="eastAsia" w:ascii="宋体" w:hAnsi="宋体" w:cs="宋体"/>
          <w:sz w:val="15"/>
          <w:szCs w:val="15"/>
        </w:rPr>
        <w:t>金融期货是指买卖双方在有组织的交易所内，以公开竞价的方式达成协议，约定在未来某一特定时间交割标准化的合约，具有较强的流动性，绝大多数合约在到时前被平仓，到期交割的比例极小，根据标的的不同，金融期货主要有外汇期货、利率期货和股票指数期货。</w:t>
      </w:r>
    </w:p>
    <w:p>
      <w:pPr>
        <w:autoSpaceDN w:val="0"/>
        <w:spacing w:line="160" w:lineRule="exact"/>
        <w:rPr>
          <w:rFonts w:ascii="宋体" w:cs="宋体"/>
          <w:sz w:val="15"/>
          <w:szCs w:val="15"/>
        </w:rPr>
      </w:pPr>
      <w:r>
        <w:rPr>
          <w:rFonts w:hint="eastAsia" w:ascii="宋体" w:hAnsi="宋体" w:cs="宋体"/>
          <w:b/>
          <w:sz w:val="15"/>
          <w:szCs w:val="15"/>
        </w:rPr>
        <w:t>金融工具会计的基本内容：</w:t>
      </w:r>
      <w:r>
        <w:rPr>
          <w:rFonts w:ascii="宋体" w:hAnsi="宋体" w:cs="宋体"/>
          <w:sz w:val="15"/>
          <w:szCs w:val="15"/>
        </w:rPr>
        <w:t>1</w:t>
      </w:r>
      <w:r>
        <w:rPr>
          <w:rFonts w:hint="eastAsia" w:ascii="宋体" w:hAnsi="宋体" w:cs="宋体"/>
          <w:sz w:val="15"/>
          <w:szCs w:val="15"/>
        </w:rPr>
        <w:t>，金融工具的确认</w:t>
      </w:r>
      <w:r>
        <w:rPr>
          <w:rFonts w:ascii="宋体" w:hAnsi="宋体" w:cs="宋体"/>
          <w:sz w:val="15"/>
          <w:szCs w:val="15"/>
        </w:rPr>
        <w:t xml:space="preserve"> 2</w:t>
      </w:r>
      <w:r>
        <w:rPr>
          <w:rFonts w:hint="eastAsia" w:ascii="宋体" w:hAnsi="宋体" w:cs="宋体"/>
          <w:sz w:val="15"/>
          <w:szCs w:val="15"/>
        </w:rPr>
        <w:t>，金融工具的计量</w:t>
      </w:r>
      <w:r>
        <w:rPr>
          <w:rFonts w:ascii="宋体" w:hAnsi="宋体" w:cs="宋体"/>
          <w:sz w:val="15"/>
          <w:szCs w:val="15"/>
        </w:rPr>
        <w:t xml:space="preserve"> 3</w:t>
      </w:r>
      <w:r>
        <w:rPr>
          <w:rFonts w:hint="eastAsia" w:ascii="宋体" w:hAnsi="宋体" w:cs="宋体"/>
          <w:sz w:val="15"/>
          <w:szCs w:val="15"/>
        </w:rPr>
        <w:t>，金融工具的列示和披露</w:t>
      </w:r>
      <w:r>
        <w:rPr>
          <w:rFonts w:ascii="宋体" w:hAnsi="宋体" w:cs="宋体"/>
          <w:sz w:val="15"/>
          <w:szCs w:val="15"/>
        </w:rPr>
        <w:t xml:space="preserve">  </w:t>
      </w:r>
    </w:p>
    <w:p>
      <w:pPr>
        <w:autoSpaceDN w:val="0"/>
        <w:spacing w:line="160" w:lineRule="exact"/>
        <w:rPr>
          <w:rFonts w:ascii="宋体" w:cs="宋体"/>
          <w:sz w:val="15"/>
          <w:szCs w:val="15"/>
        </w:rPr>
      </w:pPr>
      <w:r>
        <w:rPr>
          <w:rFonts w:ascii="宋体" w:hAnsi="宋体" w:cs="宋体"/>
          <w:sz w:val="15"/>
          <w:szCs w:val="15"/>
        </w:rPr>
        <w:t xml:space="preserve"> </w:t>
      </w:r>
      <w:r>
        <w:rPr>
          <w:rFonts w:hint="eastAsia" w:ascii="宋体" w:hAnsi="宋体" w:cs="宋体"/>
          <w:sz w:val="15"/>
          <w:szCs w:val="15"/>
        </w:rPr>
        <w:t>企业取得衍生金融工具发生的相关交易费用应当直接计入当期损益。</w:t>
      </w:r>
    </w:p>
    <w:p>
      <w:pPr>
        <w:autoSpaceDN w:val="0"/>
        <w:spacing w:line="160" w:lineRule="exact"/>
        <w:rPr>
          <w:rFonts w:ascii="宋体" w:cs="宋体"/>
          <w:sz w:val="15"/>
          <w:szCs w:val="15"/>
        </w:rPr>
      </w:pPr>
      <w:r>
        <w:rPr>
          <w:rFonts w:hint="eastAsia" w:ascii="宋体" w:hAnsi="宋体" w:cs="宋体"/>
          <w:b/>
          <w:bCs/>
          <w:sz w:val="15"/>
          <w:szCs w:val="15"/>
        </w:rPr>
        <w:t>交易费用</w:t>
      </w:r>
      <w:r>
        <w:rPr>
          <w:rFonts w:hint="eastAsia" w:ascii="宋体" w:hAnsi="宋体" w:cs="宋体"/>
          <w:sz w:val="15"/>
          <w:szCs w:val="15"/>
        </w:rPr>
        <w:t>，是指可直接归属于购买。发行或处置金融工具新增的外部费用。</w:t>
      </w:r>
    </w:p>
    <w:p>
      <w:pPr>
        <w:autoSpaceDN w:val="0"/>
        <w:spacing w:line="160" w:lineRule="exact"/>
        <w:rPr>
          <w:rFonts w:ascii="宋体" w:cs="宋体"/>
          <w:sz w:val="15"/>
          <w:szCs w:val="15"/>
        </w:rPr>
      </w:pPr>
      <w:r>
        <w:rPr>
          <w:rFonts w:hint="eastAsia" w:ascii="宋体" w:hAnsi="宋体" w:cs="宋体"/>
          <w:b/>
          <w:bCs/>
          <w:sz w:val="15"/>
          <w:szCs w:val="15"/>
        </w:rPr>
        <w:t>新增的外部费用</w:t>
      </w:r>
      <w:r>
        <w:rPr>
          <w:rFonts w:hint="eastAsia" w:ascii="宋体" w:hAnsi="宋体" w:cs="宋体"/>
          <w:sz w:val="15"/>
          <w:szCs w:val="15"/>
        </w:rPr>
        <w:t>是指企业不购买、发行或处置金融工具就不会发生的费用，</w:t>
      </w:r>
      <w:r>
        <w:rPr>
          <w:rFonts w:hint="eastAsia" w:ascii="宋体" w:hAnsi="宋体" w:cs="宋体"/>
          <w:b/>
          <w:bCs/>
          <w:sz w:val="15"/>
          <w:szCs w:val="15"/>
        </w:rPr>
        <w:t>包括</w:t>
      </w:r>
      <w:r>
        <w:rPr>
          <w:rFonts w:hint="eastAsia" w:ascii="宋体" w:hAnsi="宋体" w:cs="宋体"/>
          <w:sz w:val="15"/>
          <w:szCs w:val="15"/>
        </w:rPr>
        <w:t>支付给代理机构，咨询公司，券商等的手续费和佣金及其他必要支出，</w:t>
      </w:r>
      <w:r>
        <w:rPr>
          <w:rFonts w:hint="eastAsia" w:ascii="宋体" w:hAnsi="宋体" w:cs="宋体"/>
          <w:b/>
          <w:bCs/>
          <w:sz w:val="15"/>
          <w:szCs w:val="15"/>
        </w:rPr>
        <w:t>不包括</w:t>
      </w:r>
      <w:r>
        <w:rPr>
          <w:rFonts w:hint="eastAsia" w:ascii="宋体" w:hAnsi="宋体" w:cs="宋体"/>
          <w:sz w:val="15"/>
          <w:szCs w:val="15"/>
        </w:rPr>
        <w:t>债券溢价、折价、融资费用、内部管理成本及其他与交易不直接相关的费用。</w:t>
      </w:r>
    </w:p>
    <w:p>
      <w:pPr>
        <w:autoSpaceDN w:val="0"/>
        <w:spacing w:line="160" w:lineRule="exact"/>
        <w:rPr>
          <w:rFonts w:ascii="宋体" w:cs="宋体"/>
          <w:sz w:val="15"/>
          <w:szCs w:val="15"/>
        </w:rPr>
      </w:pPr>
      <w:r>
        <w:rPr>
          <w:rFonts w:hint="eastAsia" w:ascii="宋体" w:hAnsi="宋体" w:cs="宋体"/>
          <w:b/>
          <w:bCs/>
          <w:sz w:val="15"/>
          <w:szCs w:val="15"/>
        </w:rPr>
        <w:t>金融衍生工具的设置</w:t>
      </w:r>
      <w:r>
        <w:rPr>
          <w:rFonts w:hint="eastAsia" w:ascii="宋体" w:hAnsi="宋体" w:cs="宋体"/>
          <w:sz w:val="15"/>
          <w:szCs w:val="15"/>
        </w:rPr>
        <w:t>企业应该设置衍生工具会计科目核算衍生金融工具的公允价值及其变动形成的衍生资产或衍生负债。</w:t>
      </w:r>
    </w:p>
    <w:p>
      <w:pPr>
        <w:autoSpaceDN w:val="0"/>
        <w:spacing w:line="160" w:lineRule="exact"/>
        <w:rPr>
          <w:rFonts w:ascii="宋体" w:cs="宋体"/>
          <w:sz w:val="15"/>
          <w:szCs w:val="15"/>
        </w:rPr>
      </w:pPr>
      <w:r>
        <w:rPr>
          <w:rFonts w:hint="eastAsia" w:ascii="宋体" w:hAnsi="宋体" w:cs="宋体"/>
          <w:b/>
          <w:bCs/>
          <w:sz w:val="15"/>
          <w:szCs w:val="15"/>
        </w:rPr>
        <w:t>衍生金融工具业务的账务处理：</w:t>
      </w:r>
      <w:r>
        <w:rPr>
          <w:rFonts w:ascii="宋体" w:hAnsi="宋体" w:cs="宋体"/>
          <w:sz w:val="15"/>
          <w:szCs w:val="15"/>
        </w:rPr>
        <w:t>1</w:t>
      </w:r>
      <w:r>
        <w:rPr>
          <w:rFonts w:hint="eastAsia" w:ascii="宋体" w:hAnsi="宋体" w:cs="宋体"/>
          <w:sz w:val="15"/>
          <w:szCs w:val="15"/>
        </w:rPr>
        <w:t>，企业取得衍生金融工具，应按其公允价值，借记衍生工具科目，发生的交易费用，借记投资收益科目，按照实际支付的金额贷记，银行存款等科目。</w:t>
      </w:r>
      <w:r>
        <w:rPr>
          <w:rFonts w:ascii="宋体" w:hAnsi="宋体" w:cs="宋体"/>
          <w:sz w:val="15"/>
          <w:szCs w:val="15"/>
        </w:rPr>
        <w:t xml:space="preserve"> 2</w:t>
      </w:r>
      <w:r>
        <w:rPr>
          <w:rFonts w:hint="eastAsia" w:ascii="宋体" w:hAnsi="宋体" w:cs="宋体"/>
          <w:sz w:val="15"/>
          <w:szCs w:val="15"/>
        </w:rPr>
        <w:t>，企业发行衍生金融工具，承担负债时，借记银行存款等科目，贷记衍生工具科目。</w:t>
      </w:r>
      <w:r>
        <w:rPr>
          <w:rFonts w:ascii="宋体" w:hAnsi="宋体" w:cs="宋体"/>
          <w:sz w:val="15"/>
          <w:szCs w:val="15"/>
        </w:rPr>
        <w:t>3</w:t>
      </w:r>
      <w:r>
        <w:rPr>
          <w:rFonts w:hint="eastAsia" w:ascii="宋体" w:hAnsi="宋体" w:cs="宋体"/>
          <w:sz w:val="15"/>
          <w:szCs w:val="15"/>
        </w:rPr>
        <w:t>，资产负债表日，衍生金融工具的公允价值高于其账面余额的差额，借记衍生工具科目，贷记公允价值变动损益，科目，高于允许价值低于其账面余额的差额，作相反会计处理。</w:t>
      </w:r>
      <w:r>
        <w:rPr>
          <w:rFonts w:ascii="宋体" w:hAnsi="宋体" w:cs="宋体"/>
          <w:sz w:val="15"/>
          <w:szCs w:val="15"/>
        </w:rPr>
        <w:t>4</w:t>
      </w:r>
      <w:r>
        <w:rPr>
          <w:rFonts w:hint="eastAsia" w:ascii="宋体" w:hAnsi="宋体" w:cs="宋体"/>
          <w:sz w:val="15"/>
          <w:szCs w:val="15"/>
        </w:rPr>
        <w:t>，处置衍生金融工具借记银行存款、结算备付金等科目，贷记衍生工具科目按其差额，贷记或借记投资收益科目，贷记或借记，公允价值变动损益科目，贷记或借记投资收益科目。</w:t>
      </w:r>
    </w:p>
    <w:p>
      <w:pPr>
        <w:autoSpaceDN w:val="0"/>
        <w:spacing w:line="160" w:lineRule="exact"/>
        <w:rPr>
          <w:rFonts w:ascii="宋体" w:cs="宋体"/>
          <w:sz w:val="15"/>
          <w:szCs w:val="15"/>
        </w:rPr>
      </w:pPr>
      <w:r>
        <w:rPr>
          <w:rFonts w:hint="eastAsia" w:ascii="宋体" w:hAnsi="宋体" w:cs="宋体"/>
          <w:b/>
          <w:sz w:val="15"/>
          <w:szCs w:val="15"/>
        </w:rPr>
        <w:t>套期保值：</w:t>
      </w:r>
      <w:r>
        <w:rPr>
          <w:rFonts w:hint="eastAsia" w:ascii="宋体" w:hAnsi="宋体" w:cs="宋体"/>
          <w:sz w:val="15"/>
          <w:szCs w:val="15"/>
        </w:rPr>
        <w:t>是指企业为规避外汇风险、利率风险、商品价格风险、股票价格风险、信用风险等，指定一项或一项以上的衍生金融工具为套期工具，是套期工具的公允价值或现金流量变动，预期抵消被套期项目全部或部分公允价值或现金流动变动。</w:t>
      </w:r>
    </w:p>
    <w:p>
      <w:pPr>
        <w:autoSpaceDN w:val="0"/>
        <w:spacing w:line="160" w:lineRule="exact"/>
        <w:rPr>
          <w:rFonts w:ascii="宋体" w:cs="宋体"/>
          <w:sz w:val="15"/>
          <w:szCs w:val="15"/>
        </w:rPr>
      </w:pPr>
      <w:r>
        <w:rPr>
          <w:rFonts w:hint="eastAsia" w:ascii="宋体" w:hAnsi="宋体" w:cs="宋体"/>
          <w:b/>
          <w:bCs/>
          <w:sz w:val="15"/>
          <w:szCs w:val="15"/>
        </w:rPr>
        <w:t>套用保值的类别</w:t>
      </w:r>
      <w:r>
        <w:rPr>
          <w:rFonts w:hint="eastAsia" w:ascii="宋体" w:hAnsi="宋体" w:cs="宋体"/>
          <w:sz w:val="15"/>
          <w:szCs w:val="15"/>
        </w:rPr>
        <w:t>运用套期会计方法的不同，按套期关系（即套期工具和被套期项目之间的关系），可分为公允价值套期，现金流量套期和境外经营净投资套期。</w:t>
      </w:r>
    </w:p>
    <w:p>
      <w:pPr>
        <w:autoSpaceDN w:val="0"/>
        <w:spacing w:line="160" w:lineRule="exact"/>
        <w:rPr>
          <w:rFonts w:ascii="宋体" w:cs="宋体"/>
          <w:sz w:val="15"/>
          <w:szCs w:val="15"/>
        </w:rPr>
      </w:pPr>
      <w:r>
        <w:rPr>
          <w:rFonts w:hint="eastAsia" w:ascii="宋体" w:hAnsi="宋体" w:cs="宋体"/>
          <w:b/>
          <w:sz w:val="15"/>
          <w:szCs w:val="15"/>
        </w:rPr>
        <w:t>公允价值套期</w:t>
      </w:r>
      <w:r>
        <w:rPr>
          <w:rFonts w:hint="eastAsia" w:ascii="宋体" w:hAnsi="宋体" w:cs="宋体"/>
          <w:sz w:val="15"/>
          <w:szCs w:val="15"/>
        </w:rPr>
        <w:t>是指对已确认资产或负债、尚未确认的确定承诺，或该资产或负债、尚未确认的确定承诺中可辨认部分的公允价值变动风险进行的套期。</w:t>
      </w:r>
    </w:p>
    <w:p>
      <w:pPr>
        <w:autoSpaceDN w:val="0"/>
        <w:spacing w:line="160" w:lineRule="exact"/>
        <w:rPr>
          <w:rFonts w:ascii="宋体" w:cs="宋体"/>
          <w:sz w:val="15"/>
          <w:szCs w:val="15"/>
        </w:rPr>
      </w:pPr>
      <w:r>
        <w:rPr>
          <w:rFonts w:hint="eastAsia" w:ascii="宋体" w:hAnsi="宋体" w:cs="宋体"/>
          <w:b/>
          <w:sz w:val="15"/>
          <w:szCs w:val="15"/>
        </w:rPr>
        <w:t>现金流量套期</w:t>
      </w:r>
      <w:r>
        <w:rPr>
          <w:rFonts w:hint="eastAsia" w:ascii="宋体" w:hAnsi="宋体" w:cs="宋体"/>
          <w:sz w:val="15"/>
          <w:szCs w:val="15"/>
        </w:rPr>
        <w:t>是指对现金流变动风险进行的套期，</w:t>
      </w:r>
    </w:p>
    <w:p>
      <w:pPr>
        <w:spacing w:line="160" w:lineRule="exact"/>
        <w:rPr>
          <w:rFonts w:ascii="宋体" w:cs="宋体"/>
          <w:sz w:val="15"/>
          <w:szCs w:val="15"/>
        </w:rPr>
      </w:pPr>
      <w:r>
        <w:rPr>
          <w:rFonts w:hint="eastAsia" w:ascii="宋体" w:hAnsi="宋体" w:cs="宋体"/>
          <w:b/>
          <w:bCs/>
          <w:sz w:val="15"/>
          <w:szCs w:val="15"/>
        </w:rPr>
        <w:t>境外经营净投资</w:t>
      </w:r>
      <w:r>
        <w:rPr>
          <w:rFonts w:hint="eastAsia" w:ascii="宋体" w:hAnsi="宋体" w:cs="宋体"/>
          <w:sz w:val="15"/>
          <w:szCs w:val="15"/>
        </w:rPr>
        <w:t>是指对境外净投资外汇风险进行的套期，</w:t>
      </w:r>
    </w:p>
    <w:p>
      <w:pPr>
        <w:spacing w:line="160" w:lineRule="exact"/>
        <w:rPr>
          <w:rFonts w:ascii="宋体" w:cs="宋体"/>
          <w:sz w:val="15"/>
          <w:szCs w:val="15"/>
        </w:rPr>
      </w:pPr>
      <w:r>
        <w:rPr>
          <w:rFonts w:hint="eastAsia" w:ascii="宋体" w:hAnsi="宋体" w:cs="宋体"/>
          <w:b/>
          <w:bCs/>
          <w:sz w:val="15"/>
          <w:szCs w:val="15"/>
        </w:rPr>
        <w:t>套期工具</w:t>
      </w:r>
      <w:r>
        <w:rPr>
          <w:rFonts w:hint="eastAsia" w:ascii="宋体" w:hAnsi="宋体" w:cs="宋体"/>
          <w:sz w:val="15"/>
          <w:szCs w:val="15"/>
        </w:rPr>
        <w:t>是指企业为进行套期而指定的、其公充价值或现金流量预期可抵消被套期项目的公充价值或现金流量变动的衍生金融工具。</w:t>
      </w:r>
    </w:p>
    <w:p>
      <w:pPr>
        <w:spacing w:line="160" w:lineRule="exact"/>
        <w:rPr>
          <w:rFonts w:ascii="宋体" w:cs="宋体"/>
          <w:sz w:val="15"/>
          <w:szCs w:val="15"/>
        </w:rPr>
      </w:pPr>
      <w:r>
        <w:rPr>
          <w:rFonts w:hint="eastAsia" w:ascii="宋体" w:hAnsi="宋体" w:cs="宋体"/>
          <w:b/>
          <w:bCs/>
          <w:sz w:val="15"/>
          <w:szCs w:val="15"/>
        </w:rPr>
        <w:t>套期项目</w:t>
      </w:r>
      <w:r>
        <w:rPr>
          <w:rFonts w:hint="eastAsia" w:ascii="宋体" w:hAnsi="宋体" w:cs="宋体"/>
          <w:sz w:val="15"/>
          <w:szCs w:val="15"/>
        </w:rPr>
        <w:t>是指使企业面对公充价值或现金流量变动风险且被指定为被套期对象的项目</w:t>
      </w:r>
    </w:p>
    <w:p>
      <w:pPr>
        <w:spacing w:line="160" w:lineRule="exact"/>
        <w:rPr>
          <w:rFonts w:ascii="宋体" w:cs="宋体"/>
          <w:sz w:val="15"/>
          <w:szCs w:val="15"/>
        </w:rPr>
      </w:pPr>
      <w:r>
        <w:rPr>
          <w:rFonts w:hint="eastAsia" w:ascii="宋体" w:hAnsi="宋体" w:cs="宋体"/>
          <w:b/>
          <w:bCs/>
          <w:sz w:val="15"/>
          <w:szCs w:val="15"/>
        </w:rPr>
        <w:t>套期项目包括</w:t>
      </w:r>
      <w:r>
        <w:rPr>
          <w:rFonts w:ascii="宋体" w:hAnsi="宋体" w:cs="宋体"/>
          <w:sz w:val="15"/>
          <w:szCs w:val="15"/>
        </w:rPr>
        <w:t>1</w:t>
      </w:r>
      <w:r>
        <w:rPr>
          <w:rFonts w:hint="eastAsia" w:ascii="宋体" w:hAnsi="宋体" w:cs="宋体"/>
          <w:sz w:val="15"/>
          <w:szCs w:val="15"/>
        </w:rPr>
        <w:t>单项已确认资产、负债、确定承诺、很可能发生的预期交易，或境外经营净投资</w:t>
      </w:r>
      <w:r>
        <w:rPr>
          <w:rFonts w:ascii="宋体" w:hAnsi="宋体" w:cs="宋体"/>
          <w:sz w:val="15"/>
          <w:szCs w:val="15"/>
        </w:rPr>
        <w:t>2</w:t>
      </w:r>
      <w:r>
        <w:rPr>
          <w:rFonts w:hint="eastAsia" w:ascii="宋体" w:hAnsi="宋体" w:cs="宋体"/>
          <w:sz w:val="15"/>
          <w:szCs w:val="15"/>
        </w:rPr>
        <w:t>一组具有类似风险特征的已确认资产、负债、确定承诺、很可能发生的预期交易，或境外经营净投资</w:t>
      </w:r>
      <w:r>
        <w:rPr>
          <w:rFonts w:ascii="宋体" w:hAnsi="宋体" w:cs="宋体"/>
          <w:sz w:val="15"/>
          <w:szCs w:val="15"/>
        </w:rPr>
        <w:t>3</w:t>
      </w:r>
      <w:r>
        <w:rPr>
          <w:rFonts w:hint="eastAsia" w:ascii="宋体" w:hAnsi="宋体" w:cs="宋体"/>
          <w:sz w:val="15"/>
          <w:szCs w:val="15"/>
        </w:rPr>
        <w:t>分担同一被套期利率风险的金融资产或金融负债组合的一部分，</w:t>
      </w:r>
    </w:p>
    <w:p>
      <w:pPr>
        <w:spacing w:line="160" w:lineRule="exact"/>
        <w:rPr>
          <w:rFonts w:ascii="宋体" w:cs="宋体"/>
          <w:sz w:val="15"/>
          <w:szCs w:val="15"/>
        </w:rPr>
      </w:pPr>
      <w:r>
        <w:rPr>
          <w:rFonts w:hint="eastAsia" w:ascii="宋体" w:hAnsi="宋体" w:cs="宋体"/>
          <w:b/>
          <w:bCs/>
          <w:sz w:val="15"/>
          <w:szCs w:val="15"/>
        </w:rPr>
        <w:t>套期满足下列条件之一的企业应终止进行公充价值套期会计</w:t>
      </w:r>
      <w:r>
        <w:rPr>
          <w:rFonts w:ascii="宋体" w:hAnsi="宋体" w:cs="宋体"/>
          <w:sz w:val="15"/>
          <w:szCs w:val="15"/>
        </w:rPr>
        <w:t>1</w:t>
      </w:r>
      <w:r>
        <w:rPr>
          <w:rFonts w:hint="eastAsia" w:ascii="宋体" w:hAnsi="宋体" w:cs="宋体"/>
          <w:sz w:val="15"/>
          <w:szCs w:val="15"/>
        </w:rPr>
        <w:t>套期工具已到期、被出售、合同终止或行使。</w:t>
      </w:r>
      <w:r>
        <w:rPr>
          <w:rFonts w:ascii="宋体" w:hAnsi="宋体" w:cs="宋体"/>
          <w:sz w:val="15"/>
          <w:szCs w:val="15"/>
        </w:rPr>
        <w:t>2</w:t>
      </w:r>
      <w:r>
        <w:rPr>
          <w:rFonts w:hint="eastAsia" w:ascii="宋体" w:hAnsi="宋体" w:cs="宋体"/>
          <w:sz w:val="15"/>
          <w:szCs w:val="15"/>
        </w:rPr>
        <w:t>该套期不再满足运用套期会计方法的条件</w:t>
      </w:r>
      <w:r>
        <w:rPr>
          <w:rFonts w:ascii="宋体" w:hAnsi="宋体" w:cs="宋体"/>
          <w:sz w:val="15"/>
          <w:szCs w:val="15"/>
        </w:rPr>
        <w:t>3</w:t>
      </w:r>
      <w:r>
        <w:rPr>
          <w:rFonts w:hint="eastAsia" w:ascii="宋体" w:hAnsi="宋体" w:cs="宋体"/>
          <w:sz w:val="15"/>
          <w:szCs w:val="15"/>
        </w:rPr>
        <w:t>企业撤销了对套期关系的指定，</w:t>
      </w:r>
    </w:p>
    <w:p>
      <w:pPr>
        <w:spacing w:line="160" w:lineRule="exact"/>
        <w:rPr>
          <w:rFonts w:ascii="宋体" w:cs="宋体"/>
          <w:sz w:val="15"/>
          <w:szCs w:val="15"/>
        </w:rPr>
      </w:pPr>
      <w:r>
        <w:rPr>
          <w:rFonts w:hint="eastAsia" w:ascii="宋体" w:hAnsi="宋体" w:cs="宋体"/>
          <w:b/>
          <w:bCs/>
          <w:sz w:val="15"/>
          <w:szCs w:val="15"/>
        </w:rPr>
        <w:t>终止进行现金流量套期会计核算条件</w:t>
      </w:r>
      <w:r>
        <w:rPr>
          <w:rFonts w:ascii="宋体" w:hAnsi="宋体" w:cs="宋体"/>
          <w:sz w:val="15"/>
          <w:szCs w:val="15"/>
        </w:rPr>
        <w:t>1</w:t>
      </w:r>
      <w:r>
        <w:rPr>
          <w:rFonts w:hint="eastAsia" w:ascii="宋体" w:hAnsi="宋体" w:cs="宋体"/>
          <w:sz w:val="15"/>
          <w:szCs w:val="15"/>
        </w:rPr>
        <w:t>件套期工具已到期、被出售、合同终止或已行使的，应终止该算</w:t>
      </w:r>
      <w:r>
        <w:rPr>
          <w:rFonts w:ascii="宋体" w:hAnsi="宋体" w:cs="宋体"/>
          <w:sz w:val="15"/>
          <w:szCs w:val="15"/>
        </w:rPr>
        <w:t>2</w:t>
      </w:r>
      <w:r>
        <w:rPr>
          <w:rFonts w:hint="eastAsia" w:ascii="宋体" w:hAnsi="宋体" w:cs="宋体"/>
          <w:sz w:val="15"/>
          <w:szCs w:val="15"/>
        </w:rPr>
        <w:t>该套期不在满足进行套期保值准则规定的套期会计核算的条件的应终止核算</w:t>
      </w:r>
      <w:r>
        <w:rPr>
          <w:rFonts w:ascii="宋体" w:hAnsi="宋体" w:cs="宋体"/>
          <w:sz w:val="15"/>
          <w:szCs w:val="15"/>
        </w:rPr>
        <w:t>3</w:t>
      </w:r>
      <w:r>
        <w:rPr>
          <w:rFonts w:hint="eastAsia" w:ascii="宋体" w:hAnsi="宋体" w:cs="宋体"/>
          <w:sz w:val="15"/>
          <w:szCs w:val="15"/>
        </w:rPr>
        <w:t>预期交易预计不会发生的，应终止核算。</w:t>
      </w:r>
    </w:p>
    <w:p>
      <w:pPr>
        <w:autoSpaceDN w:val="0"/>
        <w:spacing w:line="160" w:lineRule="exact"/>
        <w:rPr>
          <w:rFonts w:ascii="宋体" w:cs="宋体"/>
          <w:sz w:val="15"/>
          <w:szCs w:val="15"/>
        </w:rPr>
      </w:pPr>
      <w:r>
        <w:rPr>
          <w:rFonts w:hint="eastAsia" w:ascii="宋体" w:hAnsi="宋体" w:cs="宋体"/>
          <w:b/>
          <w:sz w:val="15"/>
          <w:szCs w:val="15"/>
        </w:rPr>
        <w:t>权益工具是指</w:t>
      </w:r>
      <w:r>
        <w:rPr>
          <w:rFonts w:hint="eastAsia" w:ascii="宋体" w:hAnsi="宋体" w:cs="宋体"/>
          <w:sz w:val="15"/>
          <w:szCs w:val="15"/>
        </w:rPr>
        <w:t>能证明拥有某个企业在扣除所有负债后的资产中的剩余权益的合同。</w:t>
      </w:r>
    </w:p>
    <w:p>
      <w:pPr>
        <w:autoSpaceDN w:val="0"/>
        <w:spacing w:line="160" w:lineRule="exact"/>
        <w:rPr>
          <w:rFonts w:ascii="宋体" w:cs="宋体"/>
          <w:sz w:val="15"/>
          <w:szCs w:val="15"/>
        </w:rPr>
      </w:pPr>
      <w:r>
        <w:rPr>
          <w:rFonts w:hint="eastAsia" w:ascii="宋体" w:hAnsi="宋体" w:cs="宋体"/>
          <w:b/>
          <w:bCs/>
          <w:sz w:val="15"/>
          <w:szCs w:val="15"/>
        </w:rPr>
        <w:t>金融资产和金融负债互相抵消的条件</w:t>
      </w:r>
      <w:r>
        <w:rPr>
          <w:rFonts w:hint="eastAsia" w:ascii="宋体" w:hAnsi="宋体" w:cs="宋体"/>
          <w:sz w:val="15"/>
          <w:szCs w:val="15"/>
        </w:rPr>
        <w:t>根据金融工具列报表准则的规定，金融资产和金融负债应当在资产负债表内份别列示，不的相互抵消。但是同时满足下列条件的，应当以相互抵消后的净额在资产负债表内列示，企业具有抵消已确认金额的法定权利，且该种法定权利现在是可执行的。企业计划一净额结算，或同时变现该金融资产和清偿该金融负债不满足终止确认条件的金融资产转移，转出方不的将以转移的金融资产和相关负债进行抵销。</w:t>
      </w:r>
    </w:p>
    <w:p>
      <w:pPr>
        <w:autoSpaceDN w:val="0"/>
        <w:spacing w:line="160" w:lineRule="exact"/>
        <w:rPr>
          <w:rFonts w:ascii="宋体" w:cs="宋体"/>
          <w:sz w:val="15"/>
          <w:szCs w:val="15"/>
        </w:rPr>
      </w:pPr>
      <w:r>
        <w:rPr>
          <w:rFonts w:hint="eastAsia" w:ascii="宋体" w:hAnsi="宋体" w:cs="宋体"/>
          <w:b/>
          <w:bCs/>
          <w:sz w:val="15"/>
          <w:szCs w:val="15"/>
        </w:rPr>
        <w:t>金融资产和金融负债不能相互抵消的情形</w:t>
      </w:r>
      <w:r>
        <w:rPr>
          <w:rFonts w:hint="eastAsia" w:ascii="宋体" w:hAnsi="宋体" w:cs="宋体"/>
          <w:sz w:val="15"/>
          <w:szCs w:val="15"/>
        </w:rPr>
        <w:t>将几项金融工具结合在一起模仿成某项金融资产或金融负债这种组合的各单项金融工具形成的金融资产或金融负债不能相互抵销，作为某金融负债担保物的金融资产，不能与被担保的金融负债抵销，企业与外部交易对手进行多项金融工具交易，同时签订总抵销协议</w:t>
      </w:r>
    </w:p>
    <w:p>
      <w:pPr>
        <w:autoSpaceDN w:val="0"/>
        <w:spacing w:line="160" w:lineRule="exact"/>
        <w:rPr>
          <w:rFonts w:ascii="宋体" w:cs="宋体"/>
          <w:sz w:val="15"/>
          <w:szCs w:val="15"/>
        </w:rPr>
      </w:pPr>
      <w:r>
        <w:rPr>
          <w:rFonts w:hint="eastAsia" w:ascii="宋体" w:hAnsi="宋体" w:cs="宋体"/>
          <w:b/>
          <w:sz w:val="15"/>
          <w:szCs w:val="15"/>
        </w:rPr>
        <w:t>企业合并</w:t>
      </w:r>
      <w:r>
        <w:rPr>
          <w:rFonts w:hint="eastAsia" w:ascii="宋体" w:hAnsi="宋体" w:cs="宋体"/>
          <w:sz w:val="15"/>
          <w:szCs w:val="15"/>
        </w:rPr>
        <w:t>是指两个或者两个以上单独的企业合并成一个报表主体的交易或事项</w:t>
      </w:r>
    </w:p>
    <w:p>
      <w:pPr>
        <w:autoSpaceDN w:val="0"/>
        <w:spacing w:line="160" w:lineRule="exact"/>
        <w:rPr>
          <w:rFonts w:ascii="宋体" w:cs="宋体"/>
          <w:sz w:val="15"/>
          <w:szCs w:val="15"/>
        </w:rPr>
      </w:pPr>
      <w:r>
        <w:rPr>
          <w:rFonts w:hint="eastAsia" w:ascii="宋体" w:hAnsi="宋体" w:cs="宋体"/>
          <w:b/>
          <w:bCs/>
          <w:sz w:val="15"/>
          <w:szCs w:val="15"/>
        </w:rPr>
        <w:t>吸收合并又称兼并</w:t>
      </w:r>
      <w:r>
        <w:rPr>
          <w:rFonts w:hint="eastAsia" w:ascii="宋体" w:hAnsi="宋体" w:cs="宋体"/>
          <w:sz w:val="15"/>
          <w:szCs w:val="15"/>
        </w:rPr>
        <w:t>，是指两个或两个以上的企业合并称为一个单一的企业，其中一个企业保留法人资格，其他企业的法人资格随着合并而注销。</w:t>
      </w:r>
    </w:p>
    <w:p>
      <w:pPr>
        <w:autoSpaceDN w:val="0"/>
        <w:spacing w:line="160" w:lineRule="exact"/>
        <w:rPr>
          <w:rFonts w:ascii="宋体" w:cs="宋体"/>
          <w:sz w:val="15"/>
          <w:szCs w:val="15"/>
        </w:rPr>
      </w:pPr>
      <w:r>
        <w:rPr>
          <w:rFonts w:hint="eastAsia" w:ascii="宋体" w:hAnsi="宋体" w:cs="宋体"/>
          <w:sz w:val="15"/>
          <w:szCs w:val="15"/>
        </w:rPr>
        <w:t>吸收合并通常由继续存在的企业以现金购买或用股票交换合并企业的净资产。并由合并后的新企业继续经营原业务。</w:t>
      </w:r>
    </w:p>
    <w:p>
      <w:pPr>
        <w:autoSpaceDN w:val="0"/>
        <w:spacing w:line="160" w:lineRule="exact"/>
        <w:rPr>
          <w:rFonts w:ascii="宋体" w:cs="宋体"/>
          <w:sz w:val="15"/>
          <w:szCs w:val="15"/>
        </w:rPr>
      </w:pPr>
      <w:r>
        <w:rPr>
          <w:rFonts w:hint="eastAsia" w:ascii="宋体" w:hAnsi="宋体" w:cs="宋体"/>
          <w:b/>
          <w:bCs/>
          <w:sz w:val="15"/>
          <w:szCs w:val="15"/>
        </w:rPr>
        <w:t>新设合并又称创立合并</w:t>
      </w:r>
      <w:r>
        <w:rPr>
          <w:rFonts w:hint="eastAsia" w:ascii="宋体" w:hAnsi="宋体" w:cs="宋体"/>
          <w:sz w:val="15"/>
          <w:szCs w:val="15"/>
        </w:rPr>
        <w:t>是指两个或两个以上的企业协议合并组成一个新的企业。</w:t>
      </w:r>
    </w:p>
    <w:p>
      <w:pPr>
        <w:autoSpaceDN w:val="0"/>
        <w:spacing w:line="160" w:lineRule="exact"/>
        <w:rPr>
          <w:rFonts w:ascii="宋体" w:cs="宋体"/>
          <w:sz w:val="15"/>
          <w:szCs w:val="15"/>
        </w:rPr>
      </w:pPr>
      <w:r>
        <w:rPr>
          <w:rFonts w:hint="eastAsia" w:ascii="宋体" w:hAnsi="宋体" w:cs="宋体"/>
          <w:sz w:val="15"/>
          <w:szCs w:val="15"/>
        </w:rPr>
        <w:t>新设合并通常由新设企业用投票交换原有企业的净资产原有企业的净股东成为新企业的股东。</w:t>
      </w:r>
    </w:p>
    <w:p>
      <w:pPr>
        <w:autoSpaceDN w:val="0"/>
        <w:spacing w:line="160" w:lineRule="exact"/>
        <w:rPr>
          <w:rFonts w:ascii="宋体" w:cs="宋体"/>
          <w:sz w:val="15"/>
          <w:szCs w:val="15"/>
        </w:rPr>
      </w:pPr>
      <w:r>
        <w:rPr>
          <w:rFonts w:hint="eastAsia" w:ascii="宋体" w:hAnsi="宋体" w:cs="宋体"/>
          <w:b/>
          <w:bCs/>
          <w:sz w:val="15"/>
          <w:szCs w:val="15"/>
        </w:rPr>
        <w:t>控股合并</w:t>
      </w:r>
      <w:r>
        <w:rPr>
          <w:rFonts w:hint="eastAsia" w:ascii="宋体" w:hAnsi="宋体" w:cs="宋体"/>
          <w:sz w:val="15"/>
          <w:szCs w:val="15"/>
        </w:rPr>
        <w:t>是指企业通过收购其他企业的股份或相互交换股票取得对方股份大道对其他企业进行控制的一种合并形式。</w:t>
      </w:r>
    </w:p>
    <w:p>
      <w:pPr>
        <w:autoSpaceDN w:val="0"/>
        <w:spacing w:line="160" w:lineRule="exact"/>
        <w:rPr>
          <w:rFonts w:ascii="宋体" w:cs="宋体"/>
          <w:sz w:val="15"/>
          <w:szCs w:val="15"/>
        </w:rPr>
      </w:pPr>
      <w:r>
        <w:rPr>
          <w:rFonts w:hint="eastAsia" w:ascii="宋体" w:hAnsi="宋体" w:cs="宋体"/>
          <w:b/>
          <w:bCs/>
          <w:sz w:val="15"/>
          <w:szCs w:val="15"/>
        </w:rPr>
        <w:t>够买法</w:t>
      </w:r>
      <w:r>
        <w:rPr>
          <w:rFonts w:hint="eastAsia" w:ascii="宋体" w:hAnsi="宋体" w:cs="宋体"/>
          <w:sz w:val="15"/>
          <w:szCs w:val="15"/>
        </w:rPr>
        <w:t>将企业合并视为某企业购买其他企业净资产的一项交易的企业合并会计核算的方法，</w:t>
      </w:r>
    </w:p>
    <w:p>
      <w:pPr>
        <w:autoSpaceDN w:val="0"/>
        <w:spacing w:line="160" w:lineRule="exact"/>
        <w:rPr>
          <w:rFonts w:ascii="宋体" w:cs="宋体"/>
          <w:sz w:val="15"/>
          <w:szCs w:val="15"/>
        </w:rPr>
      </w:pPr>
      <w:r>
        <w:rPr>
          <w:rFonts w:hint="eastAsia" w:ascii="宋体" w:hAnsi="宋体" w:cs="宋体"/>
          <w:b/>
          <w:bCs/>
          <w:sz w:val="15"/>
          <w:szCs w:val="15"/>
        </w:rPr>
        <w:t>购买法进行核算程序和原则</w:t>
      </w:r>
      <w:r>
        <w:rPr>
          <w:rFonts w:hint="eastAsia" w:ascii="宋体" w:hAnsi="宋体" w:cs="宋体"/>
          <w:sz w:val="15"/>
          <w:szCs w:val="15"/>
        </w:rPr>
        <w:t>第一，对所购企业的资产，负债进行确认和估价，第二确定购买成本，第三比较其购买成本和被购买企业净资产的公充价值。</w:t>
      </w:r>
    </w:p>
    <w:p>
      <w:pPr>
        <w:autoSpaceDN w:val="0"/>
        <w:spacing w:line="160" w:lineRule="exact"/>
        <w:rPr>
          <w:rFonts w:ascii="宋体" w:cs="宋体"/>
          <w:sz w:val="15"/>
          <w:szCs w:val="15"/>
        </w:rPr>
      </w:pPr>
      <w:r>
        <w:rPr>
          <w:rFonts w:hint="eastAsia" w:ascii="宋体" w:hAnsi="宋体" w:cs="宋体"/>
          <w:b/>
          <w:bCs/>
          <w:sz w:val="15"/>
          <w:szCs w:val="15"/>
        </w:rPr>
        <w:t>权益结合法又称权益法</w:t>
      </w:r>
      <w:r>
        <w:rPr>
          <w:rFonts w:hint="eastAsia" w:ascii="宋体" w:hAnsi="宋体" w:cs="宋体"/>
          <w:sz w:val="15"/>
          <w:szCs w:val="15"/>
        </w:rPr>
        <w:t>，是指将企业合并视为两家或两家以上的企业，通过股票的交换，使股权融为一体，实现上方股权结合的企业合并的会计核算方法</w:t>
      </w:r>
    </w:p>
    <w:p>
      <w:pPr>
        <w:autoSpaceDN w:val="0"/>
        <w:spacing w:line="160" w:lineRule="exact"/>
        <w:rPr>
          <w:rFonts w:ascii="宋体" w:cs="宋体"/>
          <w:sz w:val="15"/>
          <w:szCs w:val="15"/>
        </w:rPr>
      </w:pPr>
      <w:r>
        <w:rPr>
          <w:rFonts w:hint="eastAsia" w:ascii="宋体" w:hAnsi="宋体" w:cs="宋体"/>
          <w:b/>
          <w:bCs/>
          <w:sz w:val="15"/>
          <w:szCs w:val="15"/>
        </w:rPr>
        <w:t>采用权益结合法进行企业合并的财务核算其基本原则</w:t>
      </w:r>
      <w:r>
        <w:rPr>
          <w:rFonts w:hint="eastAsia" w:ascii="宋体" w:hAnsi="宋体" w:cs="宋体"/>
          <w:sz w:val="15"/>
          <w:szCs w:val="15"/>
        </w:rPr>
        <w:t>，所有参与合并企业的资产、负债和所有者权益都以账面价值抓入合并后的企业。</w:t>
      </w:r>
    </w:p>
    <w:p>
      <w:pPr>
        <w:autoSpaceDN w:val="0"/>
        <w:spacing w:line="160" w:lineRule="exact"/>
        <w:rPr>
          <w:rFonts w:ascii="宋体" w:cs="宋体"/>
          <w:sz w:val="15"/>
          <w:szCs w:val="15"/>
        </w:rPr>
      </w:pPr>
      <w:r>
        <w:rPr>
          <w:rFonts w:hint="eastAsia" w:ascii="宋体" w:hAnsi="宋体" w:cs="宋体"/>
          <w:b/>
          <w:bCs/>
          <w:sz w:val="15"/>
          <w:szCs w:val="15"/>
        </w:rPr>
        <w:t>同一控制下的企业合并与非同一控制下的企业合并</w:t>
      </w:r>
      <w:r>
        <w:rPr>
          <w:rFonts w:hint="eastAsia" w:ascii="宋体" w:hAnsi="宋体" w:cs="宋体"/>
          <w:sz w:val="15"/>
          <w:szCs w:val="15"/>
        </w:rPr>
        <w:t>依据会计准则，企业合并按照控制对象，分为同一控制下的企业合并和非同一控制下的企业合并。同一控制下的企业合并，同一控制下的企业合并是是指参与合并的各方在合并前后均受同一方或相同的多方控制，切该控制并非暂时性的</w:t>
      </w:r>
      <w:r>
        <w:rPr>
          <w:rFonts w:ascii="宋体" w:hAnsi="宋体" w:cs="宋体"/>
          <w:sz w:val="15"/>
          <w:szCs w:val="15"/>
        </w:rPr>
        <w:t xml:space="preserve"> </w:t>
      </w:r>
      <w:r>
        <w:rPr>
          <w:rFonts w:hint="eastAsia" w:ascii="宋体" w:hAnsi="宋体" w:cs="宋体"/>
          <w:sz w:val="15"/>
          <w:szCs w:val="15"/>
        </w:rPr>
        <w:t>，非同一控制下的企业合并；非同一控制下的企业合并，旨在合并前后不存在同一方或多方控制的情况下，一个企业购买另一个或多个企业股权或净资产的行为。</w:t>
      </w:r>
    </w:p>
    <w:p>
      <w:pPr>
        <w:autoSpaceDN w:val="0"/>
        <w:spacing w:line="160" w:lineRule="exact"/>
        <w:rPr>
          <w:rFonts w:ascii="宋体" w:cs="宋体"/>
          <w:sz w:val="15"/>
          <w:szCs w:val="15"/>
        </w:rPr>
      </w:pPr>
      <w:r>
        <w:rPr>
          <w:rFonts w:hint="eastAsia" w:ascii="宋体" w:hAnsi="宋体" w:cs="宋体"/>
          <w:b/>
          <w:bCs/>
          <w:sz w:val="15"/>
          <w:szCs w:val="15"/>
        </w:rPr>
        <w:t>统一制度喜爱的企业合并</w:t>
      </w:r>
      <w:r>
        <w:rPr>
          <w:rFonts w:hint="eastAsia" w:ascii="宋体" w:hAnsi="宋体" w:cs="宋体"/>
          <w:sz w:val="15"/>
          <w:szCs w:val="15"/>
        </w:rPr>
        <w:t>合并方可以通过支付现金、转让非现金资产、承担债务以及发行权益性证劵等方式实现对其他企业的吸收合并。</w:t>
      </w:r>
    </w:p>
    <w:p>
      <w:pPr>
        <w:autoSpaceDN w:val="0"/>
        <w:spacing w:line="160" w:lineRule="exact"/>
        <w:rPr>
          <w:rFonts w:ascii="宋体" w:cs="宋体"/>
          <w:sz w:val="15"/>
          <w:szCs w:val="15"/>
        </w:rPr>
      </w:pPr>
      <w:r>
        <w:rPr>
          <w:rFonts w:hint="eastAsia" w:ascii="宋体" w:hAnsi="宋体" w:cs="宋体"/>
          <w:b/>
          <w:bCs/>
          <w:sz w:val="15"/>
          <w:szCs w:val="15"/>
        </w:rPr>
        <w:t>统一制度下新设合并的真帐务处理</w:t>
      </w:r>
      <w:r>
        <w:rPr>
          <w:rFonts w:hint="eastAsia" w:ascii="宋体" w:hAnsi="宋体" w:cs="宋体"/>
          <w:sz w:val="15"/>
          <w:szCs w:val="15"/>
        </w:rPr>
        <w:t>应当按照被合并方的原账面价值确认缺的净资产账面价值与所放弃净资产账面价值的差额，以及发生权益性证劵方式确认的净资产账面价值与发行股份面值之间的差额调整资本公积和留存收益。</w:t>
      </w:r>
    </w:p>
    <w:p>
      <w:pPr>
        <w:autoSpaceDN w:val="0"/>
        <w:spacing w:line="160" w:lineRule="exact"/>
        <w:rPr>
          <w:rFonts w:ascii="宋体" w:cs="宋体"/>
          <w:sz w:val="15"/>
          <w:szCs w:val="15"/>
        </w:rPr>
      </w:pPr>
      <w:r>
        <w:rPr>
          <w:rFonts w:hint="eastAsia" w:ascii="宋体" w:hAnsi="宋体" w:cs="宋体"/>
          <w:b/>
          <w:bCs/>
          <w:sz w:val="15"/>
          <w:szCs w:val="15"/>
        </w:rPr>
        <w:t>同一控制下控股合并的帐务处理</w:t>
      </w:r>
      <w:r>
        <w:rPr>
          <w:rFonts w:hint="eastAsia" w:ascii="宋体" w:hAnsi="宋体" w:cs="宋体"/>
          <w:sz w:val="15"/>
          <w:szCs w:val="15"/>
        </w:rPr>
        <w:t>新设合并中合并方在合并日取得资产和负债的入账价值，应当按照被合并方的原账面价值确认；取得的净资产账面价值与所放弃净资产账面价值的差额，以及发行权益性证劵方式确认的净资产账面价值与发行股份面值之间的差额，应调整资本公积和留存收益。</w:t>
      </w:r>
    </w:p>
    <w:p>
      <w:pPr>
        <w:autoSpaceDN w:val="0"/>
        <w:spacing w:line="160" w:lineRule="exact"/>
        <w:rPr>
          <w:rFonts w:ascii="宋体" w:cs="宋体"/>
          <w:sz w:val="15"/>
          <w:szCs w:val="15"/>
        </w:rPr>
      </w:pPr>
      <w:r>
        <w:rPr>
          <w:rFonts w:hint="eastAsia" w:ascii="宋体" w:hAnsi="宋体" w:cs="宋体"/>
          <w:b/>
          <w:bCs/>
          <w:sz w:val="15"/>
          <w:szCs w:val="15"/>
        </w:rPr>
        <w:t>公充价值</w:t>
      </w:r>
      <w:r>
        <w:rPr>
          <w:rFonts w:hint="eastAsia" w:ascii="宋体" w:hAnsi="宋体" w:cs="宋体"/>
          <w:sz w:val="15"/>
          <w:szCs w:val="15"/>
        </w:rPr>
        <w:t>指在公平交易中熟悉情况并自愿交易的双发进行资产交换或债务清偿的金额。</w:t>
      </w:r>
    </w:p>
    <w:p>
      <w:pPr>
        <w:autoSpaceDN w:val="0"/>
        <w:spacing w:line="160" w:lineRule="exact"/>
        <w:rPr>
          <w:rFonts w:ascii="宋体" w:cs="宋体"/>
          <w:sz w:val="15"/>
          <w:szCs w:val="15"/>
        </w:rPr>
      </w:pPr>
      <w:r>
        <w:rPr>
          <w:rFonts w:hint="eastAsia" w:ascii="宋体" w:hAnsi="宋体" w:cs="宋体"/>
          <w:b/>
          <w:bCs/>
          <w:sz w:val="15"/>
          <w:szCs w:val="15"/>
        </w:rPr>
        <w:t>商誉</w:t>
      </w:r>
      <w:r>
        <w:rPr>
          <w:rFonts w:hint="eastAsia" w:ascii="宋体" w:hAnsi="宋体" w:cs="宋体"/>
          <w:sz w:val="15"/>
          <w:szCs w:val="15"/>
        </w:rPr>
        <w:t>指不能被单独识别与确认的资产而带来的未来经济利益</w:t>
      </w:r>
    </w:p>
    <w:p>
      <w:pPr>
        <w:autoSpaceDN w:val="0"/>
        <w:spacing w:line="160" w:lineRule="exact"/>
        <w:rPr>
          <w:rFonts w:ascii="宋体" w:cs="宋体"/>
          <w:sz w:val="15"/>
          <w:szCs w:val="15"/>
        </w:rPr>
      </w:pPr>
      <w:r>
        <w:rPr>
          <w:rFonts w:hint="eastAsia" w:ascii="宋体" w:hAnsi="宋体" w:cs="宋体"/>
          <w:sz w:val="15"/>
          <w:szCs w:val="15"/>
        </w:rPr>
        <w:t>就企业合并而言，商誉是指在购买日购买方的合并成本大于确认的各项可辨认资产、负债公充价值净额的差额</w:t>
      </w:r>
    </w:p>
    <w:p>
      <w:pPr>
        <w:autoSpaceDN w:val="0"/>
        <w:spacing w:line="160" w:lineRule="exact"/>
        <w:rPr>
          <w:rFonts w:ascii="宋体" w:cs="宋体"/>
          <w:sz w:val="15"/>
          <w:szCs w:val="15"/>
        </w:rPr>
      </w:pPr>
      <w:r>
        <w:rPr>
          <w:rFonts w:hint="eastAsia" w:ascii="宋体" w:hAnsi="宋体" w:cs="宋体"/>
          <w:b/>
          <w:bCs/>
          <w:sz w:val="15"/>
          <w:szCs w:val="15"/>
        </w:rPr>
        <w:t>或有负债</w:t>
      </w:r>
      <w:r>
        <w:rPr>
          <w:rFonts w:hint="eastAsia" w:ascii="宋体" w:hAnsi="宋体" w:cs="宋体"/>
          <w:sz w:val="15"/>
          <w:szCs w:val="15"/>
        </w:rPr>
        <w:t>指因过去事项而产生的潜在义务，其存在仅通过不完全由主体控制的一个或多个不确定未来事项的发生或不发生予以证实；或因过去交易或事项形成的闲事义务，履行该义务不是很可能导致经济利益的资源流出企业，或者该义务的金额不能充分可靠地计量。</w:t>
      </w:r>
    </w:p>
    <w:p>
      <w:pPr>
        <w:autoSpaceDN w:val="0"/>
        <w:spacing w:line="160" w:lineRule="exact"/>
        <w:rPr>
          <w:rFonts w:ascii="宋体" w:cs="宋体"/>
          <w:sz w:val="15"/>
          <w:szCs w:val="15"/>
        </w:rPr>
      </w:pPr>
      <w:r>
        <w:rPr>
          <w:rFonts w:hint="eastAsia" w:ascii="宋体" w:hAnsi="宋体" w:cs="宋体"/>
          <w:b/>
          <w:bCs/>
          <w:sz w:val="15"/>
          <w:szCs w:val="15"/>
        </w:rPr>
        <w:t>在各并成本大于所获得辨认净资产公允价值的帐务处理</w:t>
      </w:r>
      <w:r>
        <w:rPr>
          <w:rFonts w:hint="eastAsia" w:ascii="宋体" w:hAnsi="宋体" w:cs="宋体"/>
          <w:sz w:val="15"/>
          <w:szCs w:val="15"/>
        </w:rPr>
        <w:t>在合并成本大于所获可辨认净资产公充价值的情况下购买方应当按照公充价值将所购人的净资产登记入账，合并成本与所获得可辨认净资产的公充价值之间的差额作为商誉，记入商誉账户的借方。</w:t>
      </w:r>
    </w:p>
    <w:p>
      <w:pPr>
        <w:autoSpaceDN w:val="0"/>
        <w:spacing w:line="160" w:lineRule="exact"/>
        <w:rPr>
          <w:rFonts w:ascii="宋体" w:cs="宋体"/>
          <w:sz w:val="15"/>
          <w:szCs w:val="15"/>
        </w:rPr>
      </w:pPr>
      <w:r>
        <w:rPr>
          <w:rFonts w:hint="eastAsia" w:ascii="宋体" w:hAnsi="宋体" w:cs="宋体"/>
          <w:b/>
          <w:bCs/>
          <w:sz w:val="15"/>
          <w:szCs w:val="15"/>
        </w:rPr>
        <w:t>合并财务报表</w:t>
      </w:r>
      <w:r>
        <w:rPr>
          <w:rFonts w:hint="eastAsia" w:ascii="宋体" w:hAnsi="宋体" w:cs="宋体"/>
          <w:sz w:val="15"/>
          <w:szCs w:val="15"/>
        </w:rPr>
        <w:t>是指将母公司和子公司形成的企业集团作为一个报告主体由母公司根据母公司和子公司的个别单位财务报表编制的，反应母公司及其全部子公司形成的企业集团整体财务状况、经营成果和现金流量的财务报表。</w:t>
      </w:r>
    </w:p>
    <w:p>
      <w:pPr>
        <w:autoSpaceDN w:val="0"/>
        <w:spacing w:line="160" w:lineRule="exact"/>
        <w:rPr>
          <w:rFonts w:ascii="宋体" w:cs="宋体"/>
          <w:sz w:val="15"/>
          <w:szCs w:val="15"/>
        </w:rPr>
      </w:pPr>
      <w:r>
        <w:rPr>
          <w:rFonts w:hint="eastAsia" w:ascii="宋体" w:hAnsi="宋体" w:cs="宋体"/>
          <w:b/>
          <w:bCs/>
          <w:sz w:val="15"/>
          <w:szCs w:val="15"/>
        </w:rPr>
        <w:t>合并财务报表特点</w:t>
      </w:r>
      <w:r>
        <w:rPr>
          <w:rFonts w:hint="eastAsia" w:ascii="宋体" w:hAnsi="宋体" w:cs="宋体"/>
          <w:sz w:val="15"/>
          <w:szCs w:val="15"/>
        </w:rPr>
        <w:t>第一合并财务报表的主体是经济意义上的复合会计主体即报告主体第二；合并财务报表由企业集团中对其他企业有控制全的母公司编制第三；合并财务报表时以个别财务报表为基础编制的第四；合并财务报表由其独特的编制方法。</w:t>
      </w:r>
    </w:p>
    <w:p>
      <w:pPr>
        <w:autoSpaceDN w:val="0"/>
        <w:spacing w:line="160" w:lineRule="exact"/>
        <w:rPr>
          <w:rFonts w:ascii="宋体" w:cs="宋体"/>
          <w:sz w:val="15"/>
          <w:szCs w:val="15"/>
        </w:rPr>
      </w:pPr>
      <w:r>
        <w:rPr>
          <w:rFonts w:hint="eastAsia" w:ascii="宋体" w:hAnsi="宋体" w:cs="宋体"/>
          <w:b/>
          <w:bCs/>
          <w:sz w:val="15"/>
          <w:szCs w:val="15"/>
        </w:rPr>
        <w:t>实体理论</w:t>
      </w:r>
      <w:r>
        <w:rPr>
          <w:rFonts w:hint="eastAsia" w:ascii="宋体" w:hAnsi="宋体" w:cs="宋体"/>
          <w:sz w:val="15"/>
          <w:szCs w:val="15"/>
        </w:rPr>
        <w:t>企业集团是各成员企业共同组成的经济联合体，企业集团中各成员企业的地位是平等的，合并财务报表是整个经济联合体的财务报表</w:t>
      </w:r>
    </w:p>
    <w:p>
      <w:pPr>
        <w:autoSpaceDN w:val="0"/>
        <w:spacing w:line="160" w:lineRule="exact"/>
        <w:rPr>
          <w:rFonts w:ascii="宋体" w:cs="宋体"/>
          <w:sz w:val="15"/>
          <w:szCs w:val="15"/>
        </w:rPr>
      </w:pPr>
      <w:r>
        <w:rPr>
          <w:rFonts w:hint="eastAsia" w:ascii="宋体" w:hAnsi="宋体" w:cs="宋体"/>
          <w:sz w:val="15"/>
          <w:szCs w:val="15"/>
        </w:rPr>
        <w:t>纳入合并财务报表范围的主要包括母公司拥有被投资企业</w:t>
      </w:r>
      <w:r>
        <w:rPr>
          <w:rFonts w:ascii="宋体" w:hAnsi="宋体" w:cs="宋体"/>
          <w:sz w:val="15"/>
          <w:szCs w:val="15"/>
        </w:rPr>
        <w:t>50%</w:t>
      </w:r>
      <w:r>
        <w:rPr>
          <w:rFonts w:hint="eastAsia" w:ascii="宋体" w:hAnsi="宋体" w:cs="宋体"/>
          <w:sz w:val="15"/>
          <w:szCs w:val="15"/>
        </w:rPr>
        <w:t>以上表决权时。</w:t>
      </w:r>
    </w:p>
    <w:p>
      <w:pPr>
        <w:autoSpaceDN w:val="0"/>
        <w:spacing w:line="160" w:lineRule="exact"/>
        <w:rPr>
          <w:rFonts w:ascii="宋体" w:cs="宋体"/>
          <w:sz w:val="15"/>
          <w:szCs w:val="15"/>
        </w:rPr>
      </w:pPr>
      <w:r>
        <w:rPr>
          <w:rFonts w:hint="eastAsia" w:ascii="宋体" w:hAnsi="宋体" w:cs="宋体"/>
          <w:b/>
          <w:bCs/>
          <w:sz w:val="15"/>
          <w:szCs w:val="15"/>
        </w:rPr>
        <w:t>不纳入财务报告表合并范围</w:t>
      </w:r>
      <w:r>
        <w:rPr>
          <w:rFonts w:hint="eastAsia" w:ascii="宋体" w:hAnsi="宋体" w:cs="宋体"/>
          <w:sz w:val="15"/>
          <w:szCs w:val="15"/>
        </w:rPr>
        <w:t>具体包括</w:t>
      </w:r>
      <w:r>
        <w:rPr>
          <w:rFonts w:ascii="宋体" w:hAnsi="宋体" w:cs="宋体"/>
          <w:sz w:val="15"/>
          <w:szCs w:val="15"/>
        </w:rPr>
        <w:t>1</w:t>
      </w:r>
      <w:r>
        <w:rPr>
          <w:rFonts w:hint="eastAsia" w:ascii="宋体" w:hAnsi="宋体" w:cs="宋体"/>
          <w:sz w:val="15"/>
          <w:szCs w:val="15"/>
        </w:rPr>
        <w:t>已准备关、停、并、转的子公司</w:t>
      </w:r>
      <w:r>
        <w:rPr>
          <w:rFonts w:ascii="宋体" w:hAnsi="宋体" w:cs="宋体"/>
          <w:sz w:val="15"/>
          <w:szCs w:val="15"/>
        </w:rPr>
        <w:t>2</w:t>
      </w:r>
      <w:r>
        <w:rPr>
          <w:rFonts w:hint="eastAsia" w:ascii="宋体" w:hAnsi="宋体" w:cs="宋体"/>
          <w:sz w:val="15"/>
          <w:szCs w:val="15"/>
        </w:rPr>
        <w:t>按照被产程序，已宣告被清理整顿的子公司</w:t>
      </w:r>
      <w:r>
        <w:rPr>
          <w:rFonts w:ascii="宋体" w:hAnsi="宋体" w:cs="宋体"/>
          <w:sz w:val="15"/>
          <w:szCs w:val="15"/>
        </w:rPr>
        <w:t>3</w:t>
      </w:r>
      <w:r>
        <w:rPr>
          <w:rFonts w:hint="eastAsia" w:ascii="宋体" w:hAnsi="宋体" w:cs="宋体"/>
          <w:sz w:val="15"/>
          <w:szCs w:val="15"/>
        </w:rPr>
        <w:t>非特续经营的所有者权益为负数的子公司联合控制主体母公司不在控制的子公司及其他非特续经营的或母公司不能控制的被投资单位。</w:t>
      </w:r>
    </w:p>
    <w:p>
      <w:pPr>
        <w:autoSpaceDN w:val="0"/>
        <w:spacing w:line="160" w:lineRule="exact"/>
        <w:rPr>
          <w:rFonts w:ascii="宋体" w:cs="宋体"/>
          <w:sz w:val="15"/>
          <w:szCs w:val="15"/>
        </w:rPr>
      </w:pPr>
      <w:r>
        <w:rPr>
          <w:rFonts w:hint="eastAsia" w:ascii="宋体" w:hAnsi="宋体" w:cs="宋体"/>
          <w:b/>
          <w:bCs/>
          <w:sz w:val="15"/>
          <w:szCs w:val="15"/>
        </w:rPr>
        <w:t>经济内容</w:t>
      </w:r>
      <w:r>
        <w:rPr>
          <w:rFonts w:ascii="宋体" w:hAnsi="宋体" w:cs="宋体"/>
          <w:sz w:val="15"/>
          <w:szCs w:val="15"/>
        </w:rPr>
        <w:t>1</w:t>
      </w:r>
      <w:r>
        <w:rPr>
          <w:rFonts w:hint="eastAsia" w:ascii="宋体" w:hAnsi="宋体" w:cs="宋体"/>
          <w:sz w:val="15"/>
          <w:szCs w:val="15"/>
        </w:rPr>
        <w:t>合并资产负债表</w:t>
      </w:r>
      <w:r>
        <w:rPr>
          <w:rFonts w:ascii="宋体" w:hAnsi="宋体" w:cs="宋体"/>
          <w:sz w:val="15"/>
          <w:szCs w:val="15"/>
        </w:rPr>
        <w:t>2</w:t>
      </w:r>
      <w:r>
        <w:rPr>
          <w:rFonts w:hint="eastAsia" w:ascii="宋体" w:hAnsi="宋体" w:cs="宋体"/>
          <w:sz w:val="15"/>
          <w:szCs w:val="15"/>
        </w:rPr>
        <w:t>合并利润表</w:t>
      </w:r>
      <w:r>
        <w:rPr>
          <w:rFonts w:ascii="宋体" w:hAnsi="宋体" w:cs="宋体"/>
          <w:sz w:val="15"/>
          <w:szCs w:val="15"/>
        </w:rPr>
        <w:t>3</w:t>
      </w:r>
      <w:r>
        <w:rPr>
          <w:rFonts w:hint="eastAsia" w:ascii="宋体" w:hAnsi="宋体" w:cs="宋体"/>
          <w:sz w:val="15"/>
          <w:szCs w:val="15"/>
        </w:rPr>
        <w:t>合并现金流量表</w:t>
      </w:r>
      <w:r>
        <w:rPr>
          <w:rFonts w:ascii="宋体" w:hAnsi="宋体" w:cs="宋体"/>
          <w:sz w:val="15"/>
          <w:szCs w:val="15"/>
        </w:rPr>
        <w:t>4</w:t>
      </w:r>
      <w:r>
        <w:rPr>
          <w:rFonts w:hint="eastAsia" w:ascii="宋体" w:hAnsi="宋体" w:cs="宋体"/>
          <w:sz w:val="15"/>
          <w:szCs w:val="15"/>
        </w:rPr>
        <w:t>合并所有者权益变动表。</w:t>
      </w:r>
    </w:p>
    <w:p>
      <w:pPr>
        <w:autoSpaceDN w:val="0"/>
        <w:spacing w:line="160" w:lineRule="exact"/>
        <w:rPr>
          <w:rFonts w:ascii="宋体" w:cs="宋体"/>
          <w:sz w:val="15"/>
          <w:szCs w:val="15"/>
        </w:rPr>
      </w:pPr>
      <w:r>
        <w:rPr>
          <w:rFonts w:hint="eastAsia" w:ascii="宋体" w:hAnsi="宋体" w:cs="宋体"/>
          <w:b/>
          <w:bCs/>
          <w:sz w:val="15"/>
          <w:szCs w:val="15"/>
        </w:rPr>
        <w:t>编制时间分类</w:t>
      </w:r>
      <w:r>
        <w:rPr>
          <w:rFonts w:ascii="宋体" w:hAnsi="宋体" w:cs="宋体"/>
          <w:sz w:val="15"/>
          <w:szCs w:val="15"/>
        </w:rPr>
        <w:t>1</w:t>
      </w:r>
      <w:r>
        <w:rPr>
          <w:rFonts w:hint="eastAsia" w:ascii="宋体" w:hAnsi="宋体" w:cs="宋体"/>
          <w:sz w:val="15"/>
          <w:szCs w:val="15"/>
        </w:rPr>
        <w:t>控制权取得日后合并财务报表</w:t>
      </w:r>
      <w:r>
        <w:rPr>
          <w:rFonts w:ascii="宋体" w:hAnsi="宋体" w:cs="宋体"/>
          <w:sz w:val="15"/>
          <w:szCs w:val="15"/>
        </w:rPr>
        <w:t>2</w:t>
      </w:r>
      <w:r>
        <w:rPr>
          <w:rFonts w:hint="eastAsia" w:ascii="宋体" w:hAnsi="宋体" w:cs="宋体"/>
          <w:sz w:val="15"/>
          <w:szCs w:val="15"/>
        </w:rPr>
        <w:t>控制权取得日后财务报表。</w:t>
      </w:r>
    </w:p>
    <w:p>
      <w:pPr>
        <w:autoSpaceDN w:val="0"/>
        <w:spacing w:line="160" w:lineRule="exact"/>
        <w:rPr>
          <w:rFonts w:ascii="宋体" w:cs="宋体"/>
          <w:sz w:val="15"/>
          <w:szCs w:val="15"/>
        </w:rPr>
      </w:pPr>
      <w:r>
        <w:rPr>
          <w:rFonts w:hint="eastAsia" w:ascii="宋体" w:hAnsi="宋体" w:cs="宋体"/>
          <w:b/>
          <w:bCs/>
          <w:sz w:val="15"/>
          <w:szCs w:val="15"/>
        </w:rPr>
        <w:t>购买子公司全部股权的合并财务报表的编制有两种情况</w:t>
      </w:r>
      <w:r>
        <w:rPr>
          <w:rFonts w:hint="eastAsia" w:ascii="宋体" w:hAnsi="宋体" w:cs="宋体"/>
          <w:sz w:val="15"/>
          <w:szCs w:val="15"/>
        </w:rPr>
        <w:t>一是母公司拥有子公司的全部股权二十母公司只拥有子公司部分股权。</w:t>
      </w:r>
    </w:p>
    <w:p>
      <w:pPr>
        <w:autoSpaceDN w:val="0"/>
        <w:spacing w:line="160" w:lineRule="exact"/>
        <w:rPr>
          <w:rFonts w:ascii="宋体" w:cs="宋体"/>
          <w:sz w:val="15"/>
          <w:szCs w:val="15"/>
        </w:rPr>
      </w:pPr>
      <w:r>
        <w:rPr>
          <w:rFonts w:hint="eastAsia" w:ascii="宋体" w:hAnsi="宋体" w:cs="宋体"/>
          <w:b/>
          <w:bCs/>
          <w:sz w:val="15"/>
          <w:szCs w:val="15"/>
        </w:rPr>
        <w:t>全部股权</w:t>
      </w:r>
      <w:r>
        <w:rPr>
          <w:rFonts w:hint="eastAsia" w:ascii="宋体" w:hAnsi="宋体" w:cs="宋体"/>
          <w:sz w:val="15"/>
          <w:szCs w:val="15"/>
        </w:rPr>
        <w:t>投资建立全资子公司的合并财务报表的编制。</w:t>
      </w:r>
    </w:p>
    <w:p>
      <w:pPr>
        <w:autoSpaceDN w:val="0"/>
        <w:spacing w:line="160" w:lineRule="exact"/>
        <w:rPr>
          <w:rFonts w:ascii="宋体" w:cs="宋体"/>
          <w:sz w:val="15"/>
          <w:szCs w:val="15"/>
        </w:rPr>
      </w:pPr>
      <w:r>
        <w:rPr>
          <w:rFonts w:hint="eastAsia" w:ascii="宋体" w:hAnsi="宋体" w:cs="宋体"/>
          <w:b/>
          <w:bCs/>
          <w:sz w:val="15"/>
          <w:szCs w:val="15"/>
        </w:rPr>
        <w:t>同一控制下企业合并控制权取得日合并财务把表的编制</w:t>
      </w:r>
      <w:r>
        <w:rPr>
          <w:rFonts w:hint="eastAsia" w:ascii="宋体" w:hAnsi="宋体" w:cs="宋体"/>
          <w:sz w:val="15"/>
          <w:szCs w:val="15"/>
        </w:rPr>
        <w:t>母公司获得子公司全部股权的合并财务报表的编制。</w:t>
      </w:r>
    </w:p>
    <w:p>
      <w:pPr>
        <w:autoSpaceDN w:val="0"/>
        <w:spacing w:line="160" w:lineRule="exact"/>
        <w:rPr>
          <w:rFonts w:ascii="宋体" w:cs="宋体"/>
          <w:sz w:val="15"/>
          <w:szCs w:val="15"/>
        </w:rPr>
      </w:pPr>
      <w:r>
        <w:rPr>
          <w:rFonts w:hint="eastAsia" w:ascii="宋体" w:hAnsi="宋体" w:cs="宋体"/>
          <w:b/>
          <w:bCs/>
          <w:sz w:val="15"/>
          <w:szCs w:val="15"/>
        </w:rPr>
        <w:t>企业内部经济业务事项</w:t>
      </w:r>
      <w:r>
        <w:rPr>
          <w:rFonts w:hint="eastAsia" w:ascii="宋体" w:hAnsi="宋体" w:cs="宋体"/>
          <w:sz w:val="15"/>
          <w:szCs w:val="15"/>
        </w:rPr>
        <w:t>是指企业集团内部各企业之间发生的各种经济业务事项，集团外部经济业务事项是指集团内部企业与外部企业之间发生的经济业务事项企业内部经济业务事项是指本企业内部发生的各种经济业务事项，如裁量的领用、工资的发放、固定资产的折旧等。企业内部经济业务事项指涉及本企业，与集团内其他企业和集团外其他企业没有直接关系。</w:t>
      </w:r>
    </w:p>
    <w:p>
      <w:pPr>
        <w:autoSpaceDN w:val="0"/>
        <w:spacing w:line="160" w:lineRule="exact"/>
        <w:rPr>
          <w:rFonts w:ascii="宋体" w:cs="宋体"/>
          <w:sz w:val="15"/>
          <w:szCs w:val="15"/>
        </w:rPr>
      </w:pPr>
      <w:r>
        <w:rPr>
          <w:rFonts w:hint="eastAsia" w:ascii="宋体" w:hAnsi="宋体" w:cs="宋体"/>
          <w:b/>
          <w:bCs/>
          <w:sz w:val="15"/>
          <w:szCs w:val="15"/>
        </w:rPr>
        <w:t>集团内部投资事项</w:t>
      </w:r>
      <w:r>
        <w:rPr>
          <w:rFonts w:hint="eastAsia" w:ascii="宋体" w:hAnsi="宋体" w:cs="宋体"/>
          <w:sz w:val="15"/>
          <w:szCs w:val="15"/>
        </w:rPr>
        <w:t>是指企业集团内部各企业之间发生的各种经济业务事项。</w:t>
      </w:r>
    </w:p>
    <w:p>
      <w:pPr>
        <w:autoSpaceDN w:val="0"/>
        <w:spacing w:line="160" w:lineRule="exact"/>
        <w:rPr>
          <w:rFonts w:ascii="宋体" w:cs="宋体"/>
          <w:sz w:val="15"/>
          <w:szCs w:val="15"/>
        </w:rPr>
      </w:pPr>
      <w:r>
        <w:rPr>
          <w:rFonts w:hint="eastAsia" w:ascii="宋体" w:hAnsi="宋体" w:cs="宋体"/>
          <w:b/>
          <w:bCs/>
          <w:sz w:val="15"/>
          <w:szCs w:val="15"/>
        </w:rPr>
        <w:t>企业外部经济业务事项</w:t>
      </w:r>
      <w:r>
        <w:rPr>
          <w:rFonts w:hint="eastAsia" w:ascii="宋体" w:hAnsi="宋体" w:cs="宋体"/>
          <w:sz w:val="15"/>
          <w:szCs w:val="15"/>
        </w:rPr>
        <w:t>是指集团内部企业与外部企业之间发生的经纪业务事项。</w:t>
      </w:r>
    </w:p>
    <w:p>
      <w:pPr>
        <w:autoSpaceDN w:val="0"/>
        <w:spacing w:line="160" w:lineRule="exact"/>
        <w:rPr>
          <w:rFonts w:ascii="宋体" w:cs="宋体"/>
          <w:sz w:val="15"/>
          <w:szCs w:val="15"/>
        </w:rPr>
      </w:pPr>
      <w:r>
        <w:rPr>
          <w:rFonts w:hint="eastAsia" w:ascii="宋体" w:hAnsi="宋体" w:cs="宋体"/>
          <w:b/>
          <w:bCs/>
          <w:sz w:val="15"/>
          <w:szCs w:val="15"/>
        </w:rPr>
        <w:t>集团内部投资事项</w:t>
      </w:r>
      <w:r>
        <w:rPr>
          <w:rFonts w:hint="eastAsia" w:ascii="宋体" w:hAnsi="宋体" w:cs="宋体"/>
          <w:sz w:val="15"/>
          <w:szCs w:val="15"/>
        </w:rPr>
        <w:t>是指集团内部各企业之间互相进行的投资业务事项。包括进行权益性投资和债权性此带来的投资收益的结算和支付等业务事项。</w:t>
      </w:r>
    </w:p>
    <w:p>
      <w:pPr>
        <w:autoSpaceDN w:val="0"/>
        <w:spacing w:line="160" w:lineRule="exact"/>
        <w:rPr>
          <w:rFonts w:ascii="宋体" w:cs="宋体"/>
          <w:sz w:val="15"/>
          <w:szCs w:val="15"/>
        </w:rPr>
      </w:pPr>
      <w:r>
        <w:rPr>
          <w:rFonts w:hint="eastAsia" w:ascii="宋体" w:hAnsi="宋体" w:cs="宋体"/>
          <w:b/>
          <w:bCs/>
          <w:sz w:val="15"/>
          <w:szCs w:val="15"/>
        </w:rPr>
        <w:t>集团内部交易事项</w:t>
      </w:r>
      <w:r>
        <w:rPr>
          <w:rFonts w:hint="eastAsia" w:ascii="宋体" w:hAnsi="宋体" w:cs="宋体"/>
          <w:sz w:val="15"/>
          <w:szCs w:val="15"/>
        </w:rPr>
        <w:t>是指企业集团内部各企业之间进行的存贷（商品、产成品、半成品、材料等）交易、固定资产交易、无形资产交易以及内部租赁等。</w:t>
      </w:r>
    </w:p>
    <w:p>
      <w:pPr>
        <w:autoSpaceDN w:val="0"/>
        <w:spacing w:line="160" w:lineRule="exact"/>
        <w:rPr>
          <w:rFonts w:ascii="宋体" w:cs="宋体"/>
          <w:sz w:val="15"/>
          <w:szCs w:val="15"/>
        </w:rPr>
      </w:pPr>
      <w:r>
        <w:rPr>
          <w:rFonts w:hint="eastAsia" w:ascii="宋体" w:hAnsi="宋体" w:cs="宋体"/>
          <w:b/>
          <w:bCs/>
          <w:sz w:val="15"/>
          <w:szCs w:val="15"/>
        </w:rPr>
        <w:t>集团内部借贷事项</w:t>
      </w:r>
      <w:r>
        <w:rPr>
          <w:rFonts w:hint="eastAsia" w:ascii="宋体" w:hAnsi="宋体" w:cs="宋体"/>
          <w:sz w:val="15"/>
          <w:szCs w:val="15"/>
        </w:rPr>
        <w:t>是指集团内部各企业之间发生相互借贷资金的业务，</w:t>
      </w:r>
    </w:p>
    <w:p>
      <w:pPr>
        <w:autoSpaceDN w:val="0"/>
        <w:spacing w:line="160" w:lineRule="exact"/>
        <w:rPr>
          <w:rFonts w:ascii="宋体" w:cs="宋体"/>
          <w:sz w:val="15"/>
          <w:szCs w:val="15"/>
        </w:rPr>
      </w:pPr>
      <w:r>
        <w:rPr>
          <w:rFonts w:hint="eastAsia" w:ascii="宋体" w:hAnsi="宋体" w:cs="宋体"/>
          <w:b/>
          <w:bCs/>
          <w:sz w:val="15"/>
          <w:szCs w:val="15"/>
        </w:rPr>
        <w:t>抵消处理的项目</w:t>
      </w:r>
      <w:r>
        <w:rPr>
          <w:rFonts w:hint="eastAsia" w:ascii="宋体" w:hAnsi="宋体" w:cs="宋体"/>
          <w:sz w:val="15"/>
          <w:szCs w:val="15"/>
        </w:rPr>
        <w:t>母公司对子公司权益性投资项目于子公司相应的所有者权益项目，内部债权性投资性与相应的负债项目，母公司与子公司、子公司相互之间发生的内部债权债务项目，集团内部购进存货存包含为实现内部销售利润的存货项目，集团内部购进固定资产价值中包含的为实现内部销售利润。集团内部购进无形资产价值中包含的未实现内部销售利润。</w:t>
      </w:r>
    </w:p>
    <w:p>
      <w:pPr>
        <w:autoSpaceDN w:val="0"/>
        <w:spacing w:line="160" w:lineRule="exact"/>
        <w:rPr>
          <w:rFonts w:ascii="宋体" w:cs="宋体"/>
          <w:sz w:val="15"/>
          <w:szCs w:val="15"/>
        </w:rPr>
      </w:pPr>
      <w:r>
        <w:rPr>
          <w:rFonts w:hint="eastAsia" w:ascii="宋体" w:hAnsi="宋体" w:cs="宋体"/>
          <w:b/>
          <w:bCs/>
          <w:sz w:val="15"/>
          <w:szCs w:val="15"/>
        </w:rPr>
        <w:t>合并利润表时进行抵销处理的项目</w:t>
      </w:r>
      <w:r>
        <w:rPr>
          <w:rFonts w:ascii="宋体" w:hAnsi="宋体" w:cs="宋体"/>
          <w:sz w:val="15"/>
          <w:szCs w:val="15"/>
        </w:rPr>
        <w:t>1</w:t>
      </w:r>
      <w:r>
        <w:rPr>
          <w:rFonts w:hint="eastAsia" w:ascii="宋体" w:hAnsi="宋体" w:cs="宋体"/>
          <w:sz w:val="15"/>
          <w:szCs w:val="15"/>
        </w:rPr>
        <w:t>经营收入和经营成不项目中的内部销售收入和内部销售陈本的数额</w:t>
      </w:r>
      <w:r>
        <w:rPr>
          <w:rFonts w:ascii="宋体" w:hAnsi="宋体" w:cs="宋体"/>
          <w:sz w:val="15"/>
          <w:szCs w:val="15"/>
        </w:rPr>
        <w:t>2</w:t>
      </w:r>
      <w:r>
        <w:rPr>
          <w:rFonts w:hint="eastAsia" w:ascii="宋体" w:hAnsi="宋体" w:cs="宋体"/>
          <w:sz w:val="15"/>
          <w:szCs w:val="15"/>
        </w:rPr>
        <w:t>管理费用项目中的内部应收账款计提的坏账准备</w:t>
      </w:r>
      <w:r>
        <w:rPr>
          <w:rFonts w:ascii="宋体" w:hAnsi="宋体" w:cs="宋体"/>
          <w:sz w:val="15"/>
          <w:szCs w:val="15"/>
        </w:rPr>
        <w:t>3</w:t>
      </w:r>
      <w:r>
        <w:rPr>
          <w:rFonts w:hint="eastAsia" w:ascii="宋体" w:hAnsi="宋体" w:cs="宋体"/>
          <w:sz w:val="15"/>
          <w:szCs w:val="15"/>
        </w:rPr>
        <w:t>财务费用项目中的内部利息费用</w:t>
      </w:r>
      <w:r>
        <w:rPr>
          <w:rFonts w:ascii="宋体" w:hAnsi="宋体" w:cs="宋体"/>
          <w:sz w:val="15"/>
          <w:szCs w:val="15"/>
        </w:rPr>
        <w:t>4</w:t>
      </w:r>
      <w:r>
        <w:rPr>
          <w:rFonts w:hint="eastAsia" w:ascii="宋体" w:hAnsi="宋体" w:cs="宋体"/>
          <w:sz w:val="15"/>
          <w:szCs w:val="15"/>
        </w:rPr>
        <w:t>投资收益项目中的内部权益性资本收益和内部债券投资收益等</w:t>
      </w:r>
      <w:r>
        <w:rPr>
          <w:rFonts w:ascii="宋体" w:hAnsi="宋体" w:cs="宋体"/>
          <w:sz w:val="15"/>
          <w:szCs w:val="15"/>
        </w:rPr>
        <w:t>5</w:t>
      </w:r>
      <w:r>
        <w:rPr>
          <w:rFonts w:hint="eastAsia" w:ascii="宋体" w:hAnsi="宋体" w:cs="宋体"/>
          <w:sz w:val="15"/>
          <w:szCs w:val="15"/>
        </w:rPr>
        <w:t>内如合并范围的子公司利润分配项目，等等。</w:t>
      </w:r>
    </w:p>
    <w:p>
      <w:pPr>
        <w:autoSpaceDN w:val="0"/>
        <w:spacing w:line="160" w:lineRule="exact"/>
        <w:rPr>
          <w:rFonts w:ascii="宋体" w:cs="宋体"/>
          <w:sz w:val="15"/>
          <w:szCs w:val="15"/>
        </w:rPr>
      </w:pPr>
      <w:r>
        <w:rPr>
          <w:rFonts w:hint="eastAsia" w:ascii="宋体" w:hAnsi="宋体" w:cs="宋体"/>
          <w:sz w:val="15"/>
          <w:szCs w:val="15"/>
        </w:rPr>
        <w:t>合</w:t>
      </w:r>
      <w:r>
        <w:rPr>
          <w:rFonts w:hint="eastAsia" w:ascii="宋体" w:hAnsi="宋体" w:cs="宋体"/>
          <w:b/>
          <w:bCs/>
          <w:sz w:val="15"/>
          <w:szCs w:val="15"/>
        </w:rPr>
        <w:t>并现金流量表进行销售处理的项目</w:t>
      </w:r>
      <w:r>
        <w:rPr>
          <w:rFonts w:ascii="宋体" w:hAnsi="宋体" w:cs="宋体"/>
          <w:sz w:val="15"/>
          <w:szCs w:val="15"/>
        </w:rPr>
        <w:t>1</w:t>
      </w:r>
      <w:r>
        <w:rPr>
          <w:rFonts w:hint="eastAsia" w:ascii="宋体" w:hAnsi="宋体" w:cs="宋体"/>
          <w:sz w:val="15"/>
          <w:szCs w:val="15"/>
        </w:rPr>
        <w:t>经营活动产生的现金流量项目</w:t>
      </w:r>
      <w:r>
        <w:rPr>
          <w:rFonts w:ascii="宋体" w:hAnsi="宋体" w:cs="宋体"/>
          <w:sz w:val="15"/>
          <w:szCs w:val="15"/>
        </w:rPr>
        <w:t>2</w:t>
      </w:r>
      <w:r>
        <w:rPr>
          <w:rFonts w:hint="eastAsia" w:ascii="宋体" w:hAnsi="宋体" w:cs="宋体"/>
          <w:sz w:val="15"/>
          <w:szCs w:val="15"/>
        </w:rPr>
        <w:t>投资和筹资活动产生的现金流量项目。母公司对子公司的权益性投资所有者权益直接加以抵销如果是全资子公司编制抵销分录如下；</w:t>
      </w:r>
    </w:p>
    <w:p>
      <w:pPr>
        <w:autoSpaceDN w:val="0"/>
        <w:spacing w:line="160" w:lineRule="exact"/>
        <w:rPr>
          <w:rFonts w:ascii="宋体" w:cs="宋体"/>
          <w:sz w:val="15"/>
          <w:szCs w:val="15"/>
        </w:rPr>
      </w:pPr>
      <w:r>
        <w:rPr>
          <w:rFonts w:hint="eastAsia" w:ascii="宋体" w:hAnsi="宋体" w:cs="宋体"/>
          <w:sz w:val="15"/>
          <w:szCs w:val="15"/>
        </w:rPr>
        <w:t>借；股本</w:t>
      </w:r>
      <w:r>
        <w:rPr>
          <w:rFonts w:ascii="宋体" w:hAnsi="宋体" w:cs="宋体"/>
          <w:sz w:val="15"/>
          <w:szCs w:val="15"/>
        </w:rPr>
        <w:t xml:space="preserve"> </w:t>
      </w:r>
      <w:r>
        <w:rPr>
          <w:rFonts w:hint="eastAsia" w:ascii="宋体" w:hAnsi="宋体" w:cs="宋体"/>
          <w:sz w:val="15"/>
          <w:szCs w:val="15"/>
        </w:rPr>
        <w:t>（子公司）</w:t>
      </w:r>
    </w:p>
    <w:p>
      <w:pPr>
        <w:autoSpaceDN w:val="0"/>
        <w:spacing w:line="160" w:lineRule="exact"/>
        <w:rPr>
          <w:rFonts w:ascii="宋体" w:cs="宋体"/>
          <w:sz w:val="15"/>
          <w:szCs w:val="15"/>
        </w:rPr>
      </w:pPr>
      <w:r>
        <w:rPr>
          <w:rFonts w:ascii="宋体" w:hAnsi="宋体" w:cs="宋体"/>
          <w:sz w:val="15"/>
          <w:szCs w:val="15"/>
        </w:rPr>
        <w:t xml:space="preserve">  </w:t>
      </w:r>
      <w:r>
        <w:rPr>
          <w:rFonts w:hint="eastAsia" w:ascii="宋体" w:hAnsi="宋体" w:cs="宋体"/>
          <w:sz w:val="15"/>
          <w:szCs w:val="15"/>
        </w:rPr>
        <w:t>资本公积（子公司）</w:t>
      </w:r>
    </w:p>
    <w:p>
      <w:pPr>
        <w:autoSpaceDN w:val="0"/>
        <w:spacing w:line="160" w:lineRule="exact"/>
        <w:rPr>
          <w:rFonts w:ascii="宋体" w:cs="宋体"/>
          <w:sz w:val="15"/>
          <w:szCs w:val="15"/>
        </w:rPr>
      </w:pPr>
      <w:r>
        <w:rPr>
          <w:rFonts w:ascii="宋体" w:hAnsi="宋体" w:cs="宋体"/>
          <w:sz w:val="15"/>
          <w:szCs w:val="15"/>
        </w:rPr>
        <w:t xml:space="preserve">  </w:t>
      </w:r>
      <w:r>
        <w:rPr>
          <w:rFonts w:hint="eastAsia" w:ascii="宋体" w:hAnsi="宋体" w:cs="宋体"/>
          <w:sz w:val="15"/>
          <w:szCs w:val="15"/>
        </w:rPr>
        <w:t>盈余公积（子公司）</w:t>
      </w:r>
    </w:p>
    <w:p>
      <w:pPr>
        <w:autoSpaceDN w:val="0"/>
        <w:spacing w:line="160" w:lineRule="exact"/>
        <w:rPr>
          <w:rFonts w:ascii="宋体" w:cs="宋体"/>
          <w:sz w:val="15"/>
          <w:szCs w:val="15"/>
        </w:rPr>
      </w:pPr>
      <w:r>
        <w:rPr>
          <w:rFonts w:ascii="宋体" w:hAnsi="宋体" w:cs="宋体"/>
          <w:sz w:val="15"/>
          <w:szCs w:val="15"/>
        </w:rPr>
        <w:t xml:space="preserve">  </w:t>
      </w:r>
      <w:r>
        <w:rPr>
          <w:rFonts w:hint="eastAsia" w:ascii="宋体" w:hAnsi="宋体" w:cs="宋体"/>
          <w:sz w:val="15"/>
          <w:szCs w:val="15"/>
        </w:rPr>
        <w:t>未分配利润（子公司）</w:t>
      </w:r>
    </w:p>
    <w:p>
      <w:pPr>
        <w:autoSpaceDN w:val="0"/>
        <w:spacing w:line="160" w:lineRule="exact"/>
        <w:rPr>
          <w:rFonts w:ascii="宋体" w:cs="宋体"/>
          <w:sz w:val="15"/>
          <w:szCs w:val="15"/>
        </w:rPr>
      </w:pPr>
      <w:r>
        <w:rPr>
          <w:rFonts w:hint="eastAsia" w:ascii="宋体" w:hAnsi="宋体" w:cs="宋体"/>
          <w:sz w:val="15"/>
          <w:szCs w:val="15"/>
        </w:rPr>
        <w:t>如果是非全资子公司，抵消分录编制如下：</w:t>
      </w:r>
    </w:p>
    <w:p>
      <w:pPr>
        <w:autoSpaceDN w:val="0"/>
        <w:spacing w:line="160" w:lineRule="exact"/>
        <w:rPr>
          <w:rFonts w:ascii="宋体" w:cs="宋体"/>
          <w:sz w:val="15"/>
          <w:szCs w:val="15"/>
        </w:rPr>
      </w:pPr>
      <w:r>
        <w:rPr>
          <w:rFonts w:hint="eastAsia" w:ascii="宋体" w:hAnsi="宋体" w:cs="宋体"/>
          <w:sz w:val="15"/>
          <w:szCs w:val="15"/>
        </w:rPr>
        <w:t>借：股本（子公司）</w:t>
      </w:r>
    </w:p>
    <w:p>
      <w:pPr>
        <w:autoSpaceDN w:val="0"/>
        <w:spacing w:line="160" w:lineRule="exact"/>
        <w:rPr>
          <w:rFonts w:ascii="宋体" w:cs="宋体"/>
          <w:sz w:val="15"/>
          <w:szCs w:val="15"/>
        </w:rPr>
      </w:pPr>
      <w:r>
        <w:rPr>
          <w:rFonts w:ascii="宋体" w:hAnsi="宋体" w:cs="宋体"/>
          <w:sz w:val="15"/>
          <w:szCs w:val="15"/>
        </w:rPr>
        <w:t xml:space="preserve">   </w:t>
      </w:r>
      <w:r>
        <w:rPr>
          <w:rFonts w:hint="eastAsia" w:ascii="宋体" w:hAnsi="宋体" w:cs="宋体"/>
          <w:sz w:val="15"/>
          <w:szCs w:val="15"/>
        </w:rPr>
        <w:t>资本公积（子公司）</w:t>
      </w:r>
      <w:r>
        <w:rPr>
          <w:rFonts w:ascii="宋体" w:hAnsi="宋体" w:cs="宋体"/>
          <w:sz w:val="15"/>
          <w:szCs w:val="15"/>
        </w:rPr>
        <w:t xml:space="preserve"> </w:t>
      </w:r>
    </w:p>
    <w:p>
      <w:pPr>
        <w:autoSpaceDN w:val="0"/>
        <w:spacing w:line="160" w:lineRule="exact"/>
        <w:rPr>
          <w:rFonts w:ascii="宋体" w:cs="宋体"/>
          <w:sz w:val="15"/>
          <w:szCs w:val="15"/>
        </w:rPr>
      </w:pPr>
      <w:r>
        <w:rPr>
          <w:rFonts w:ascii="宋体" w:hAnsi="宋体" w:cs="宋体"/>
          <w:sz w:val="15"/>
          <w:szCs w:val="15"/>
        </w:rPr>
        <w:t xml:space="preserve">  </w:t>
      </w:r>
      <w:r>
        <w:rPr>
          <w:rFonts w:hint="eastAsia" w:ascii="宋体" w:hAnsi="宋体" w:cs="宋体"/>
          <w:sz w:val="15"/>
          <w:szCs w:val="15"/>
        </w:rPr>
        <w:t>盈余公积（子公司）</w:t>
      </w:r>
    </w:p>
    <w:p>
      <w:pPr>
        <w:autoSpaceDN w:val="0"/>
        <w:spacing w:line="160" w:lineRule="exact"/>
        <w:rPr>
          <w:rFonts w:ascii="宋体" w:cs="宋体"/>
          <w:sz w:val="15"/>
          <w:szCs w:val="15"/>
        </w:rPr>
      </w:pPr>
      <w:r>
        <w:rPr>
          <w:rFonts w:ascii="宋体" w:hAnsi="宋体" w:cs="宋体"/>
          <w:sz w:val="15"/>
          <w:szCs w:val="15"/>
        </w:rPr>
        <w:t xml:space="preserve">  </w:t>
      </w:r>
      <w:r>
        <w:rPr>
          <w:rFonts w:hint="eastAsia" w:ascii="宋体" w:hAnsi="宋体" w:cs="宋体"/>
          <w:sz w:val="15"/>
          <w:szCs w:val="15"/>
        </w:rPr>
        <w:t>未分配利润（子公司）</w:t>
      </w:r>
    </w:p>
    <w:p>
      <w:pPr>
        <w:autoSpaceDN w:val="0"/>
        <w:spacing w:line="160" w:lineRule="exact"/>
        <w:rPr>
          <w:rFonts w:ascii="宋体" w:cs="宋体"/>
          <w:sz w:val="15"/>
          <w:szCs w:val="15"/>
        </w:rPr>
      </w:pPr>
      <w:r>
        <w:rPr>
          <w:rFonts w:ascii="宋体" w:hAnsi="宋体" w:cs="宋体"/>
          <w:sz w:val="15"/>
          <w:szCs w:val="15"/>
        </w:rPr>
        <w:t xml:space="preserve">  </w:t>
      </w:r>
      <w:r>
        <w:rPr>
          <w:rFonts w:hint="eastAsia" w:ascii="宋体" w:hAnsi="宋体" w:cs="宋体"/>
          <w:sz w:val="15"/>
          <w:szCs w:val="15"/>
        </w:rPr>
        <w:t>商誉（母公司投资成本大于子公司股东权益合计部分）</w:t>
      </w:r>
    </w:p>
    <w:p>
      <w:pPr>
        <w:autoSpaceDN w:val="0"/>
        <w:spacing w:line="160" w:lineRule="exact"/>
        <w:rPr>
          <w:rFonts w:ascii="宋体" w:cs="宋体"/>
          <w:sz w:val="15"/>
          <w:szCs w:val="15"/>
        </w:rPr>
      </w:pPr>
      <w:r>
        <w:rPr>
          <w:rFonts w:hint="eastAsia" w:ascii="宋体" w:hAnsi="宋体" w:cs="宋体"/>
          <w:sz w:val="15"/>
          <w:szCs w:val="15"/>
        </w:rPr>
        <w:t>贷：长期股权投资</w:t>
      </w:r>
      <w:r>
        <w:rPr>
          <w:rFonts w:ascii="宋体" w:cs="宋体"/>
          <w:sz w:val="15"/>
          <w:szCs w:val="15"/>
        </w:rPr>
        <w:t>-----</w:t>
      </w:r>
      <w:r>
        <w:rPr>
          <w:rFonts w:hint="eastAsia" w:ascii="宋体" w:hAnsi="宋体" w:cs="宋体"/>
          <w:sz w:val="15"/>
          <w:szCs w:val="15"/>
        </w:rPr>
        <w:t>母公司</w:t>
      </w:r>
    </w:p>
    <w:p>
      <w:pPr>
        <w:autoSpaceDN w:val="0"/>
        <w:spacing w:line="160" w:lineRule="exact"/>
        <w:rPr>
          <w:rFonts w:ascii="宋体" w:cs="宋体"/>
          <w:sz w:val="15"/>
          <w:szCs w:val="15"/>
        </w:rPr>
      </w:pPr>
      <w:r>
        <w:rPr>
          <w:rFonts w:ascii="宋体" w:hAnsi="宋体" w:cs="宋体"/>
          <w:sz w:val="15"/>
          <w:szCs w:val="15"/>
        </w:rPr>
        <w:t xml:space="preserve">    </w:t>
      </w:r>
      <w:r>
        <w:rPr>
          <w:rFonts w:hint="eastAsia" w:ascii="宋体" w:hAnsi="宋体" w:cs="宋体"/>
          <w:sz w:val="15"/>
          <w:szCs w:val="15"/>
        </w:rPr>
        <w:t>少数股东权益（子公司的所有者权益</w:t>
      </w:r>
      <w:r>
        <w:rPr>
          <w:rFonts w:ascii="宋体" w:hAnsi="宋体" w:cs="宋体"/>
          <w:sz w:val="15"/>
          <w:szCs w:val="15"/>
        </w:rPr>
        <w:t>*</w:t>
      </w:r>
      <w:r>
        <w:rPr>
          <w:rFonts w:hint="eastAsia" w:ascii="宋体" w:hAnsi="宋体" w:cs="宋体"/>
          <w:sz w:val="15"/>
          <w:szCs w:val="15"/>
        </w:rPr>
        <w:t>少数股东持股比例）</w:t>
      </w:r>
    </w:p>
    <w:p>
      <w:pPr>
        <w:autoSpaceDN w:val="0"/>
        <w:spacing w:line="160" w:lineRule="exact"/>
        <w:rPr>
          <w:rFonts w:ascii="宋体" w:cs="宋体"/>
          <w:sz w:val="15"/>
          <w:szCs w:val="15"/>
        </w:rPr>
      </w:pPr>
      <w:r>
        <w:rPr>
          <w:rFonts w:hint="eastAsia" w:ascii="宋体" w:hAnsi="宋体" w:cs="宋体"/>
          <w:sz w:val="15"/>
          <w:szCs w:val="15"/>
        </w:rPr>
        <w:t>借：所有者权益项目（子公司账面价值）</w:t>
      </w:r>
    </w:p>
    <w:p>
      <w:pPr>
        <w:autoSpaceDN w:val="0"/>
        <w:spacing w:line="160" w:lineRule="exact"/>
        <w:rPr>
          <w:rFonts w:ascii="宋体" w:cs="宋体"/>
          <w:sz w:val="15"/>
          <w:szCs w:val="15"/>
        </w:rPr>
      </w:pPr>
      <w:r>
        <w:rPr>
          <w:rFonts w:hint="eastAsia" w:ascii="宋体" w:hAnsi="宋体" w:cs="宋体"/>
          <w:sz w:val="15"/>
          <w:szCs w:val="15"/>
        </w:rPr>
        <w:t>贷：长期股权投资一子公司</w:t>
      </w:r>
    </w:p>
    <w:p>
      <w:pPr>
        <w:autoSpaceDN w:val="0"/>
        <w:spacing w:line="160" w:lineRule="exact"/>
        <w:rPr>
          <w:rFonts w:ascii="宋体" w:cs="宋体"/>
          <w:sz w:val="15"/>
          <w:szCs w:val="15"/>
        </w:rPr>
      </w:pPr>
      <w:r>
        <w:rPr>
          <w:rFonts w:hint="eastAsia" w:ascii="宋体" w:hAnsi="宋体" w:cs="宋体"/>
          <w:sz w:val="15"/>
          <w:szCs w:val="15"/>
        </w:rPr>
        <w:t>母公司内部投资收益与子公司利润分配有关项目的抵销。</w:t>
      </w:r>
      <w:r>
        <w:rPr>
          <w:rFonts w:ascii="宋体" w:hAnsi="宋体" w:cs="宋体"/>
          <w:sz w:val="15"/>
          <w:szCs w:val="15"/>
        </w:rPr>
        <w:t>1</w:t>
      </w:r>
      <w:r>
        <w:rPr>
          <w:rFonts w:hint="eastAsia" w:ascii="宋体" w:hAnsi="宋体" w:cs="宋体"/>
          <w:sz w:val="15"/>
          <w:szCs w:val="15"/>
        </w:rPr>
        <w:t>，在全资子公司情况下，子公司当年实现的全部利润都成为母公司的投资收益，所以应当将母公司的投资收益和子公司当年实现净利润予以抵消，编制抵消分录如下</w:t>
      </w:r>
    </w:p>
    <w:p>
      <w:pPr>
        <w:autoSpaceDN w:val="0"/>
        <w:spacing w:line="160" w:lineRule="exact"/>
        <w:rPr>
          <w:rFonts w:ascii="宋体" w:cs="宋体"/>
          <w:sz w:val="15"/>
          <w:szCs w:val="15"/>
        </w:rPr>
      </w:pPr>
      <w:r>
        <w:rPr>
          <w:rFonts w:hint="eastAsia" w:ascii="宋体" w:hAnsi="宋体" w:cs="宋体"/>
          <w:sz w:val="15"/>
          <w:szCs w:val="15"/>
        </w:rPr>
        <w:t>借：投资收益</w:t>
      </w:r>
    </w:p>
    <w:p>
      <w:pPr>
        <w:autoSpaceDN w:val="0"/>
        <w:spacing w:line="160" w:lineRule="exact"/>
        <w:rPr>
          <w:rFonts w:ascii="宋体" w:cs="宋体"/>
          <w:sz w:val="15"/>
          <w:szCs w:val="15"/>
        </w:rPr>
      </w:pPr>
      <w:r>
        <w:rPr>
          <w:rFonts w:hint="eastAsia" w:ascii="宋体" w:hAnsi="宋体" w:cs="宋体"/>
          <w:sz w:val="15"/>
          <w:szCs w:val="15"/>
        </w:rPr>
        <w:t>贷：净利润</w:t>
      </w:r>
    </w:p>
    <w:p>
      <w:pPr>
        <w:autoSpaceDN w:val="0"/>
        <w:spacing w:line="160" w:lineRule="exact"/>
        <w:rPr>
          <w:rFonts w:ascii="宋体" w:cs="宋体"/>
          <w:sz w:val="15"/>
          <w:szCs w:val="15"/>
        </w:rPr>
      </w:pPr>
      <w:r>
        <w:rPr>
          <w:rFonts w:hint="eastAsia" w:ascii="宋体" w:hAnsi="宋体" w:cs="宋体"/>
          <w:sz w:val="15"/>
          <w:szCs w:val="15"/>
        </w:rPr>
        <w:t>二子公司的净利润加上齐楚模分配利润，就是本年可分配利润，，在分配过程中，分配成为提取的盈余公积，分配给母公司的利润和期末未分配利润。因此，净利润在数量上应为提取的盈余公积数加上应付利润、期末未分配利润减去期初末分配利润。这样，上述抵消分录即成为：</w:t>
      </w:r>
    </w:p>
    <w:p>
      <w:pPr>
        <w:autoSpaceDN w:val="0"/>
        <w:spacing w:line="160" w:lineRule="exact"/>
        <w:rPr>
          <w:rFonts w:ascii="宋体" w:cs="宋体"/>
          <w:sz w:val="15"/>
          <w:szCs w:val="15"/>
        </w:rPr>
      </w:pPr>
      <w:r>
        <w:rPr>
          <w:rFonts w:hint="eastAsia" w:ascii="宋体" w:hAnsi="宋体" w:cs="宋体"/>
          <w:sz w:val="15"/>
          <w:szCs w:val="15"/>
        </w:rPr>
        <w:t>未分配利润</w:t>
      </w:r>
      <w:r>
        <w:rPr>
          <w:rFonts w:ascii="宋体" w:cs="宋体"/>
          <w:sz w:val="15"/>
          <w:szCs w:val="15"/>
        </w:rPr>
        <w:t>----</w:t>
      </w:r>
      <w:r>
        <w:rPr>
          <w:rFonts w:hint="eastAsia" w:ascii="宋体" w:hAnsi="宋体" w:cs="宋体"/>
          <w:sz w:val="15"/>
          <w:szCs w:val="15"/>
        </w:rPr>
        <w:t>年初（子公司）</w:t>
      </w:r>
    </w:p>
    <w:p>
      <w:pPr>
        <w:autoSpaceDN w:val="0"/>
        <w:spacing w:line="160" w:lineRule="exact"/>
        <w:rPr>
          <w:rFonts w:ascii="宋体" w:cs="宋体"/>
          <w:sz w:val="15"/>
          <w:szCs w:val="15"/>
        </w:rPr>
      </w:pPr>
      <w:r>
        <w:rPr>
          <w:rFonts w:hint="eastAsia" w:ascii="宋体" w:hAnsi="宋体" w:cs="宋体"/>
          <w:sz w:val="15"/>
          <w:szCs w:val="15"/>
        </w:rPr>
        <w:t>贷：提取盈余公积</w:t>
      </w:r>
    </w:p>
    <w:p>
      <w:pPr>
        <w:autoSpaceDN w:val="0"/>
        <w:spacing w:line="160" w:lineRule="exact"/>
        <w:rPr>
          <w:rFonts w:ascii="宋体" w:cs="宋体"/>
          <w:sz w:val="15"/>
          <w:szCs w:val="15"/>
        </w:rPr>
      </w:pPr>
      <w:r>
        <w:rPr>
          <w:rFonts w:ascii="宋体" w:hAnsi="宋体" w:cs="宋体"/>
          <w:sz w:val="15"/>
          <w:szCs w:val="15"/>
        </w:rPr>
        <w:t xml:space="preserve">   </w:t>
      </w:r>
      <w:r>
        <w:rPr>
          <w:rFonts w:hint="eastAsia" w:ascii="宋体" w:hAnsi="宋体" w:cs="宋体"/>
          <w:sz w:val="15"/>
          <w:szCs w:val="15"/>
        </w:rPr>
        <w:t>分配给母公司利润（子公司）</w:t>
      </w:r>
    </w:p>
    <w:p>
      <w:pPr>
        <w:autoSpaceDN w:val="0"/>
        <w:spacing w:line="160" w:lineRule="exact"/>
        <w:rPr>
          <w:rFonts w:ascii="宋体" w:cs="宋体"/>
          <w:sz w:val="15"/>
          <w:szCs w:val="15"/>
        </w:rPr>
      </w:pPr>
      <w:r>
        <w:rPr>
          <w:rFonts w:ascii="宋体" w:hAnsi="宋体" w:cs="宋体"/>
          <w:sz w:val="15"/>
          <w:szCs w:val="15"/>
        </w:rPr>
        <w:t xml:space="preserve">   </w:t>
      </w:r>
      <w:r>
        <w:rPr>
          <w:rFonts w:hint="eastAsia" w:ascii="宋体" w:hAnsi="宋体" w:cs="宋体"/>
          <w:sz w:val="15"/>
          <w:szCs w:val="15"/>
        </w:rPr>
        <w:t>未分配利润</w:t>
      </w:r>
      <w:r>
        <w:rPr>
          <w:rFonts w:ascii="宋体" w:cs="宋体"/>
          <w:sz w:val="15"/>
          <w:szCs w:val="15"/>
        </w:rPr>
        <w:t>----</w:t>
      </w:r>
      <w:r>
        <w:rPr>
          <w:rFonts w:hint="eastAsia" w:ascii="宋体" w:hAnsi="宋体" w:cs="宋体"/>
          <w:sz w:val="15"/>
          <w:szCs w:val="15"/>
        </w:rPr>
        <w:t>年末</w:t>
      </w:r>
    </w:p>
    <w:p>
      <w:pPr>
        <w:autoSpaceDN w:val="0"/>
        <w:spacing w:line="160" w:lineRule="exact"/>
        <w:rPr>
          <w:rFonts w:ascii="宋体" w:cs="宋体"/>
          <w:sz w:val="15"/>
          <w:szCs w:val="15"/>
        </w:rPr>
      </w:pPr>
      <w:r>
        <w:rPr>
          <w:rFonts w:ascii="宋体" w:hAnsi="宋体" w:cs="宋体"/>
          <w:sz w:val="15"/>
          <w:szCs w:val="15"/>
        </w:rPr>
        <w:t xml:space="preserve">  </w:t>
      </w:r>
      <w:r>
        <w:rPr>
          <w:rFonts w:hint="eastAsia" w:ascii="宋体" w:hAnsi="宋体" w:cs="宋体"/>
          <w:sz w:val="15"/>
          <w:szCs w:val="15"/>
        </w:rPr>
        <w:t>在非全资子公司情况下，子公司当年实现净利润，大部分成为母公司投资收益，其余部分成为少数股东损益，而少数股东损益在合并财务报表上应当单独列项反映</w:t>
      </w:r>
      <w:r>
        <w:rPr>
          <w:rFonts w:ascii="宋体" w:cs="宋体"/>
          <w:sz w:val="15"/>
          <w:szCs w:val="15"/>
        </w:rPr>
        <w:t>.</w:t>
      </w:r>
      <w:r>
        <w:rPr>
          <w:rFonts w:hint="eastAsia" w:ascii="宋体" w:hAnsi="宋体" w:cs="宋体"/>
          <w:sz w:val="15"/>
          <w:szCs w:val="15"/>
        </w:rPr>
        <w:t>则在编制合并利润表、合并所有者权益变动表时，编制抵销分录如下：</w:t>
      </w:r>
    </w:p>
    <w:p>
      <w:pPr>
        <w:autoSpaceDN w:val="0"/>
        <w:spacing w:line="160" w:lineRule="exact"/>
        <w:rPr>
          <w:rFonts w:ascii="宋体" w:cs="宋体"/>
          <w:sz w:val="15"/>
          <w:szCs w:val="15"/>
        </w:rPr>
      </w:pPr>
      <w:r>
        <w:rPr>
          <w:rFonts w:ascii="宋体" w:hAnsi="宋体" w:cs="宋体"/>
          <w:sz w:val="15"/>
          <w:szCs w:val="15"/>
        </w:rPr>
        <w:t xml:space="preserve"> </w:t>
      </w:r>
      <w:r>
        <w:rPr>
          <w:rFonts w:hint="eastAsia" w:ascii="宋体" w:hAnsi="宋体" w:cs="宋体"/>
          <w:sz w:val="15"/>
          <w:szCs w:val="15"/>
        </w:rPr>
        <w:t>借：投资收益</w:t>
      </w:r>
    </w:p>
    <w:p>
      <w:pPr>
        <w:autoSpaceDN w:val="0"/>
        <w:spacing w:line="160" w:lineRule="exact"/>
        <w:ind w:firstLine="300" w:firstLineChars="200"/>
        <w:rPr>
          <w:rFonts w:ascii="宋体" w:cs="宋体"/>
          <w:sz w:val="15"/>
          <w:szCs w:val="15"/>
        </w:rPr>
      </w:pPr>
      <w:r>
        <w:rPr>
          <w:rFonts w:hint="eastAsia" w:ascii="宋体" w:hAnsi="宋体" w:cs="宋体"/>
          <w:sz w:val="15"/>
          <w:szCs w:val="15"/>
        </w:rPr>
        <w:t>少数股东损益（子公司的净利润</w:t>
      </w:r>
      <w:r>
        <w:rPr>
          <w:rFonts w:ascii="宋体" w:hAnsi="宋体" w:cs="宋体"/>
          <w:sz w:val="15"/>
          <w:szCs w:val="15"/>
        </w:rPr>
        <w:t>*</w:t>
      </w:r>
      <w:r>
        <w:rPr>
          <w:rFonts w:hint="eastAsia" w:ascii="宋体" w:hAnsi="宋体" w:cs="宋体"/>
          <w:sz w:val="15"/>
          <w:szCs w:val="15"/>
        </w:rPr>
        <w:t>少数股东持股比例）</w:t>
      </w:r>
    </w:p>
    <w:p>
      <w:pPr>
        <w:autoSpaceDN w:val="0"/>
        <w:spacing w:line="160" w:lineRule="exact"/>
        <w:ind w:firstLine="300" w:firstLineChars="200"/>
        <w:rPr>
          <w:rFonts w:ascii="宋体" w:cs="宋体"/>
          <w:sz w:val="15"/>
          <w:szCs w:val="15"/>
        </w:rPr>
      </w:pPr>
      <w:r>
        <w:rPr>
          <w:rFonts w:hint="eastAsia" w:ascii="宋体" w:hAnsi="宋体" w:cs="宋体"/>
          <w:sz w:val="15"/>
          <w:szCs w:val="15"/>
        </w:rPr>
        <w:t>未分配利润</w:t>
      </w:r>
      <w:r>
        <w:rPr>
          <w:rFonts w:ascii="宋体" w:cs="宋体"/>
          <w:sz w:val="15"/>
          <w:szCs w:val="15"/>
        </w:rPr>
        <w:t>----</w:t>
      </w:r>
      <w:r>
        <w:rPr>
          <w:rFonts w:hint="eastAsia" w:ascii="宋体" w:hAnsi="宋体" w:cs="宋体"/>
          <w:sz w:val="15"/>
          <w:szCs w:val="15"/>
        </w:rPr>
        <w:t>年初</w:t>
      </w:r>
    </w:p>
    <w:p>
      <w:pPr>
        <w:autoSpaceDN w:val="0"/>
        <w:spacing w:line="160" w:lineRule="exact"/>
        <w:rPr>
          <w:rFonts w:ascii="宋体" w:cs="宋体"/>
          <w:sz w:val="15"/>
          <w:szCs w:val="15"/>
        </w:rPr>
      </w:pPr>
      <w:r>
        <w:rPr>
          <w:rFonts w:hint="eastAsia" w:ascii="宋体" w:hAnsi="宋体" w:cs="宋体"/>
          <w:sz w:val="15"/>
          <w:szCs w:val="15"/>
        </w:rPr>
        <w:t>贷：提取盈余公积</w:t>
      </w:r>
    </w:p>
    <w:p>
      <w:pPr>
        <w:autoSpaceDN w:val="0"/>
        <w:spacing w:line="160" w:lineRule="exact"/>
        <w:ind w:firstLine="300" w:firstLineChars="200"/>
        <w:rPr>
          <w:rFonts w:ascii="宋体" w:cs="宋体"/>
          <w:sz w:val="15"/>
          <w:szCs w:val="15"/>
        </w:rPr>
      </w:pPr>
      <w:r>
        <w:rPr>
          <w:rFonts w:hint="eastAsia" w:ascii="宋体" w:hAnsi="宋体" w:cs="宋体"/>
          <w:sz w:val="15"/>
          <w:szCs w:val="15"/>
        </w:rPr>
        <w:t>对股东的分配</w:t>
      </w:r>
    </w:p>
    <w:p>
      <w:pPr>
        <w:autoSpaceDN w:val="0"/>
        <w:spacing w:line="160" w:lineRule="exact"/>
        <w:ind w:firstLine="300" w:firstLineChars="200"/>
        <w:rPr>
          <w:rFonts w:ascii="宋体" w:cs="宋体"/>
          <w:sz w:val="15"/>
          <w:szCs w:val="15"/>
        </w:rPr>
      </w:pPr>
      <w:r>
        <w:rPr>
          <w:rFonts w:hint="eastAsia" w:ascii="宋体" w:hAnsi="宋体" w:cs="宋体"/>
          <w:sz w:val="15"/>
          <w:szCs w:val="15"/>
        </w:rPr>
        <w:t>未分配利润</w:t>
      </w:r>
      <w:r>
        <w:rPr>
          <w:rFonts w:ascii="宋体" w:cs="宋体"/>
          <w:sz w:val="15"/>
          <w:szCs w:val="15"/>
        </w:rPr>
        <w:t>----</w:t>
      </w:r>
      <w:r>
        <w:rPr>
          <w:rFonts w:hint="eastAsia" w:ascii="宋体" w:hAnsi="宋体" w:cs="宋体"/>
          <w:sz w:val="15"/>
          <w:szCs w:val="15"/>
        </w:rPr>
        <w:t>年末</w:t>
      </w:r>
    </w:p>
    <w:p>
      <w:pPr>
        <w:autoSpaceDN w:val="0"/>
        <w:spacing w:line="160" w:lineRule="exact"/>
        <w:rPr>
          <w:rFonts w:ascii="宋体" w:cs="宋体"/>
          <w:sz w:val="15"/>
          <w:szCs w:val="15"/>
        </w:rPr>
      </w:pPr>
      <w:r>
        <w:rPr>
          <w:rFonts w:hint="eastAsia" w:ascii="宋体" w:hAnsi="宋体" w:cs="宋体"/>
          <w:b/>
          <w:bCs/>
          <w:sz w:val="15"/>
          <w:szCs w:val="15"/>
        </w:rPr>
        <w:t>集团交易事项按交易内容可分为：</w:t>
      </w:r>
      <w:r>
        <w:rPr>
          <w:rFonts w:hint="eastAsia" w:ascii="宋体" w:hAnsi="宋体" w:cs="宋体"/>
          <w:sz w:val="15"/>
          <w:szCs w:val="15"/>
        </w:rPr>
        <w:t>内部存货交易事项、内部固定资产交易事项、内部无形资产交易事项和内部租凭交易事项。</w:t>
      </w:r>
    </w:p>
    <w:p>
      <w:pPr>
        <w:autoSpaceDN w:val="0"/>
        <w:spacing w:line="160" w:lineRule="exact"/>
        <w:rPr>
          <w:rFonts w:ascii="宋体" w:cs="宋体"/>
          <w:sz w:val="15"/>
          <w:szCs w:val="15"/>
        </w:rPr>
      </w:pPr>
      <w:r>
        <w:rPr>
          <w:rFonts w:hint="eastAsia" w:ascii="宋体" w:hAnsi="宋体" w:cs="宋体"/>
          <w:b/>
          <w:bCs/>
          <w:sz w:val="15"/>
          <w:szCs w:val="15"/>
        </w:rPr>
        <w:t>内部交易得以实现内部利润和为实现内部利润</w:t>
      </w:r>
      <w:r>
        <w:rPr>
          <w:rFonts w:hint="eastAsia" w:ascii="宋体" w:hAnsi="宋体" w:cs="宋体"/>
          <w:sz w:val="15"/>
          <w:szCs w:val="15"/>
        </w:rPr>
        <w:t>如果在合并报表期间，内部交易的货物已经全部实现了对外交易，则在编制合并财务报表时，内部交易所体现的销售利润就成为以实现内部利润，在合并财务报表中应当全部加以反映。</w:t>
      </w:r>
      <w:r>
        <w:rPr>
          <w:rFonts w:ascii="宋体" w:hAnsi="宋体" w:cs="宋体"/>
          <w:sz w:val="15"/>
          <w:szCs w:val="15"/>
        </w:rPr>
        <w:t xml:space="preserve"> </w:t>
      </w:r>
    </w:p>
    <w:p>
      <w:pPr>
        <w:autoSpaceDN w:val="0"/>
        <w:spacing w:line="160" w:lineRule="exact"/>
        <w:rPr>
          <w:rFonts w:ascii="宋体" w:cs="宋体"/>
          <w:sz w:val="15"/>
          <w:szCs w:val="15"/>
        </w:rPr>
      </w:pPr>
      <w:r>
        <w:rPr>
          <w:rFonts w:hint="eastAsia" w:ascii="宋体" w:hAnsi="宋体" w:cs="宋体"/>
          <w:sz w:val="15"/>
          <w:szCs w:val="15"/>
        </w:rPr>
        <w:t>内部交易所体现的内部利润全部或者有一部分为为实现的利润，称为未实现内部销售损益。对于未实现内部销售损益，应当与存货的账面价值抵消，待下一个合并期实现对外交易后，未实现内部销售损益转化为已实现内部利润，再按规定在合并利润表中加以反映。</w:t>
      </w:r>
    </w:p>
    <w:p>
      <w:pPr>
        <w:autoSpaceDN w:val="0"/>
        <w:spacing w:line="160" w:lineRule="exact"/>
        <w:rPr>
          <w:rFonts w:ascii="宋体" w:cs="宋体"/>
          <w:sz w:val="15"/>
          <w:szCs w:val="15"/>
        </w:rPr>
      </w:pPr>
      <w:r>
        <w:rPr>
          <w:rFonts w:hint="eastAsia" w:ascii="宋体" w:hAnsi="宋体" w:cs="宋体"/>
          <w:sz w:val="15"/>
          <w:szCs w:val="15"/>
        </w:rPr>
        <w:t>内部购进存货全部售出的抵消处理</w:t>
      </w:r>
    </w:p>
    <w:p>
      <w:pPr>
        <w:autoSpaceDN w:val="0"/>
        <w:spacing w:line="160" w:lineRule="exact"/>
        <w:rPr>
          <w:rFonts w:ascii="宋体" w:cs="宋体"/>
          <w:sz w:val="15"/>
          <w:szCs w:val="15"/>
        </w:rPr>
      </w:pPr>
      <w:r>
        <w:rPr>
          <w:rFonts w:hint="eastAsia" w:ascii="宋体" w:hAnsi="宋体" w:cs="宋体"/>
          <w:sz w:val="15"/>
          <w:szCs w:val="15"/>
        </w:rPr>
        <w:t>借：营业收入（内部售价）</w:t>
      </w:r>
    </w:p>
    <w:p>
      <w:pPr>
        <w:autoSpaceDN w:val="0"/>
        <w:spacing w:line="160" w:lineRule="exact"/>
        <w:rPr>
          <w:rFonts w:ascii="宋体" w:cs="宋体"/>
          <w:sz w:val="15"/>
          <w:szCs w:val="15"/>
        </w:rPr>
      </w:pPr>
      <w:r>
        <w:rPr>
          <w:rFonts w:hint="eastAsia" w:ascii="宋体" w:hAnsi="宋体" w:cs="宋体"/>
          <w:sz w:val="15"/>
          <w:szCs w:val="15"/>
        </w:rPr>
        <w:t>贷：营业成本（母公司存货成本）</w:t>
      </w:r>
    </w:p>
    <w:p>
      <w:pPr>
        <w:autoSpaceDN w:val="0"/>
        <w:spacing w:line="160" w:lineRule="exact"/>
        <w:rPr>
          <w:rFonts w:ascii="宋体" w:cs="宋体"/>
          <w:sz w:val="15"/>
          <w:szCs w:val="15"/>
        </w:rPr>
      </w:pPr>
      <w:r>
        <w:rPr>
          <w:rFonts w:hint="eastAsia" w:ascii="宋体" w:hAnsi="宋体" w:cs="宋体"/>
          <w:sz w:val="15"/>
          <w:szCs w:val="15"/>
        </w:rPr>
        <w:t>内部购进存货全部未对外销售时的抵消处理</w:t>
      </w:r>
    </w:p>
    <w:p>
      <w:pPr>
        <w:autoSpaceDN w:val="0"/>
        <w:spacing w:line="160" w:lineRule="exact"/>
        <w:rPr>
          <w:rFonts w:ascii="宋体" w:cs="宋体"/>
          <w:sz w:val="15"/>
          <w:szCs w:val="15"/>
        </w:rPr>
      </w:pPr>
      <w:r>
        <w:rPr>
          <w:rFonts w:hint="eastAsia" w:ascii="宋体" w:hAnsi="宋体" w:cs="宋体"/>
          <w:sz w:val="15"/>
          <w:szCs w:val="15"/>
        </w:rPr>
        <w:t>借：营业收入（内部售价）</w:t>
      </w:r>
    </w:p>
    <w:p>
      <w:pPr>
        <w:autoSpaceDN w:val="0"/>
        <w:spacing w:line="160" w:lineRule="exact"/>
        <w:rPr>
          <w:rFonts w:ascii="宋体" w:cs="宋体"/>
          <w:sz w:val="15"/>
          <w:szCs w:val="15"/>
        </w:rPr>
      </w:pPr>
      <w:r>
        <w:rPr>
          <w:rFonts w:hint="eastAsia" w:ascii="宋体" w:hAnsi="宋体" w:cs="宋体"/>
          <w:sz w:val="15"/>
          <w:szCs w:val="15"/>
        </w:rPr>
        <w:t>贷：营业成本（母公司存货成本）</w:t>
      </w:r>
    </w:p>
    <w:p>
      <w:pPr>
        <w:autoSpaceDN w:val="0"/>
        <w:spacing w:line="160" w:lineRule="exact"/>
        <w:rPr>
          <w:rFonts w:ascii="宋体" w:cs="宋体"/>
          <w:sz w:val="15"/>
          <w:szCs w:val="15"/>
        </w:rPr>
      </w:pPr>
      <w:r>
        <w:rPr>
          <w:rFonts w:ascii="宋体" w:hAnsi="宋体" w:cs="宋体"/>
          <w:sz w:val="15"/>
          <w:szCs w:val="15"/>
        </w:rPr>
        <w:t xml:space="preserve">   </w:t>
      </w:r>
      <w:r>
        <w:rPr>
          <w:rFonts w:hint="eastAsia" w:ascii="宋体" w:hAnsi="宋体" w:cs="宋体"/>
          <w:sz w:val="15"/>
          <w:szCs w:val="15"/>
        </w:rPr>
        <w:t>存货（内部销售毛利）</w:t>
      </w:r>
    </w:p>
    <w:p>
      <w:pPr>
        <w:autoSpaceDN w:val="0"/>
        <w:spacing w:line="160" w:lineRule="exact"/>
        <w:rPr>
          <w:rFonts w:ascii="宋体" w:cs="宋体"/>
          <w:sz w:val="15"/>
          <w:szCs w:val="15"/>
        </w:rPr>
      </w:pPr>
      <w:r>
        <w:rPr>
          <w:rFonts w:hint="eastAsia" w:ascii="宋体" w:hAnsi="宋体" w:cs="宋体"/>
          <w:sz w:val="15"/>
          <w:szCs w:val="15"/>
        </w:rPr>
        <w:t>内部购进存货未全部对外销售时的抵消处理</w:t>
      </w:r>
    </w:p>
    <w:p>
      <w:pPr>
        <w:autoSpaceDN w:val="0"/>
        <w:spacing w:line="160" w:lineRule="exact"/>
        <w:rPr>
          <w:rFonts w:ascii="宋体" w:cs="宋体"/>
          <w:sz w:val="15"/>
          <w:szCs w:val="15"/>
        </w:rPr>
      </w:pPr>
      <w:r>
        <w:rPr>
          <w:rFonts w:hint="eastAsia" w:ascii="宋体" w:hAnsi="宋体" w:cs="宋体"/>
          <w:sz w:val="15"/>
          <w:szCs w:val="15"/>
        </w:rPr>
        <w:t>借：营业收入（内部销售）</w:t>
      </w:r>
    </w:p>
    <w:p>
      <w:pPr>
        <w:autoSpaceDN w:val="0"/>
        <w:spacing w:line="160" w:lineRule="exact"/>
        <w:rPr>
          <w:rFonts w:ascii="宋体" w:cs="宋体"/>
          <w:sz w:val="15"/>
          <w:szCs w:val="15"/>
        </w:rPr>
      </w:pPr>
      <w:r>
        <w:rPr>
          <w:rFonts w:hint="eastAsia" w:ascii="宋体" w:hAnsi="宋体" w:cs="宋体"/>
          <w:sz w:val="15"/>
          <w:szCs w:val="15"/>
        </w:rPr>
        <w:t>贷：营业成本（存货成本加上已实现内部利润）</w:t>
      </w:r>
    </w:p>
    <w:p>
      <w:pPr>
        <w:autoSpaceDN w:val="0"/>
        <w:spacing w:line="160" w:lineRule="exact"/>
        <w:ind w:firstLine="300" w:firstLineChars="200"/>
        <w:rPr>
          <w:rFonts w:ascii="宋体" w:cs="宋体"/>
          <w:sz w:val="15"/>
          <w:szCs w:val="15"/>
        </w:rPr>
      </w:pPr>
      <w:r>
        <w:rPr>
          <w:rFonts w:hint="eastAsia" w:ascii="宋体" w:hAnsi="宋体" w:cs="宋体"/>
          <w:sz w:val="15"/>
          <w:szCs w:val="15"/>
        </w:rPr>
        <w:t>存货（未实现内部销售损益）</w:t>
      </w:r>
    </w:p>
    <w:p>
      <w:pPr>
        <w:autoSpaceDN w:val="0"/>
        <w:spacing w:line="160" w:lineRule="exact"/>
        <w:rPr>
          <w:rFonts w:ascii="宋体" w:cs="宋体"/>
          <w:sz w:val="15"/>
          <w:szCs w:val="15"/>
        </w:rPr>
      </w:pPr>
      <w:r>
        <w:rPr>
          <w:rFonts w:hint="eastAsia" w:ascii="宋体" w:hAnsi="宋体" w:cs="宋体"/>
          <w:sz w:val="15"/>
          <w:szCs w:val="15"/>
        </w:rPr>
        <w:t>连续编制合并财务报表时内部购进存货的抵消处理</w:t>
      </w:r>
    </w:p>
    <w:p>
      <w:pPr>
        <w:autoSpaceDN w:val="0"/>
        <w:spacing w:line="160" w:lineRule="exact"/>
        <w:rPr>
          <w:rFonts w:ascii="宋体" w:cs="宋体"/>
          <w:sz w:val="15"/>
          <w:szCs w:val="15"/>
        </w:rPr>
      </w:pPr>
      <w:r>
        <w:rPr>
          <w:rFonts w:hint="eastAsia" w:ascii="宋体" w:hAnsi="宋体" w:cs="宋体"/>
          <w:sz w:val="15"/>
          <w:szCs w:val="15"/>
        </w:rPr>
        <w:t>借：未分配利润</w:t>
      </w:r>
      <w:r>
        <w:rPr>
          <w:rFonts w:ascii="宋体" w:cs="宋体"/>
          <w:sz w:val="15"/>
          <w:szCs w:val="15"/>
        </w:rPr>
        <w:t>-----</w:t>
      </w:r>
      <w:r>
        <w:rPr>
          <w:rFonts w:hint="eastAsia" w:ascii="宋体" w:hAnsi="宋体" w:cs="宋体"/>
          <w:sz w:val="15"/>
          <w:szCs w:val="15"/>
        </w:rPr>
        <w:t>年初</w:t>
      </w:r>
    </w:p>
    <w:p>
      <w:pPr>
        <w:autoSpaceDN w:val="0"/>
        <w:spacing w:line="160" w:lineRule="exact"/>
        <w:rPr>
          <w:rFonts w:ascii="宋体" w:cs="宋体"/>
          <w:sz w:val="15"/>
          <w:szCs w:val="15"/>
        </w:rPr>
      </w:pPr>
      <w:r>
        <w:rPr>
          <w:rFonts w:hint="eastAsia" w:ascii="宋体" w:hAnsi="宋体" w:cs="宋体"/>
          <w:sz w:val="15"/>
          <w:szCs w:val="15"/>
        </w:rPr>
        <w:t>贷：营业成本</w:t>
      </w:r>
    </w:p>
    <w:p>
      <w:pPr>
        <w:autoSpaceDN w:val="0"/>
        <w:spacing w:line="160" w:lineRule="exact"/>
        <w:rPr>
          <w:rFonts w:ascii="宋体" w:cs="宋体"/>
          <w:sz w:val="15"/>
          <w:szCs w:val="15"/>
        </w:rPr>
      </w:pPr>
      <w:r>
        <w:rPr>
          <w:rFonts w:hint="eastAsia" w:ascii="宋体" w:hAnsi="宋体" w:cs="宋体"/>
          <w:sz w:val="15"/>
          <w:szCs w:val="15"/>
        </w:rPr>
        <w:t>内部固定资产交易的抵消的处理</w:t>
      </w:r>
    </w:p>
    <w:p>
      <w:pPr>
        <w:autoSpaceDN w:val="0"/>
        <w:spacing w:line="160" w:lineRule="exact"/>
        <w:rPr>
          <w:rFonts w:ascii="宋体" w:cs="宋体"/>
          <w:sz w:val="15"/>
          <w:szCs w:val="15"/>
        </w:rPr>
      </w:pPr>
      <w:r>
        <w:rPr>
          <w:rFonts w:hint="eastAsia" w:ascii="宋体" w:hAnsi="宋体" w:cs="宋体"/>
          <w:sz w:val="15"/>
          <w:szCs w:val="15"/>
        </w:rPr>
        <w:t>借：营业收入（销售企业的内部销售收入）</w:t>
      </w:r>
    </w:p>
    <w:p>
      <w:pPr>
        <w:autoSpaceDN w:val="0"/>
        <w:spacing w:line="160" w:lineRule="exact"/>
        <w:rPr>
          <w:rFonts w:ascii="宋体" w:cs="宋体"/>
          <w:sz w:val="15"/>
          <w:szCs w:val="15"/>
        </w:rPr>
      </w:pPr>
      <w:r>
        <w:rPr>
          <w:rFonts w:hint="eastAsia" w:ascii="宋体" w:hAnsi="宋体" w:cs="宋体"/>
          <w:sz w:val="15"/>
          <w:szCs w:val="15"/>
        </w:rPr>
        <w:t>贷：营业成本（销售企业的内部销售成本）</w:t>
      </w:r>
    </w:p>
    <w:p>
      <w:pPr>
        <w:autoSpaceDN w:val="0"/>
        <w:spacing w:line="160" w:lineRule="exact"/>
        <w:ind w:firstLine="300" w:firstLineChars="200"/>
        <w:rPr>
          <w:rFonts w:ascii="宋体" w:cs="宋体"/>
          <w:sz w:val="15"/>
          <w:szCs w:val="15"/>
        </w:rPr>
      </w:pPr>
      <w:r>
        <w:rPr>
          <w:rFonts w:hint="eastAsia" w:ascii="宋体" w:hAnsi="宋体" w:cs="宋体"/>
          <w:sz w:val="15"/>
          <w:szCs w:val="15"/>
        </w:rPr>
        <w:t>固定资产</w:t>
      </w:r>
      <w:r>
        <w:rPr>
          <w:rFonts w:ascii="宋体" w:cs="宋体"/>
          <w:sz w:val="15"/>
          <w:szCs w:val="15"/>
        </w:rPr>
        <w:t>----</w:t>
      </w:r>
      <w:r>
        <w:rPr>
          <w:rFonts w:hint="eastAsia" w:ascii="宋体" w:hAnsi="宋体" w:cs="宋体"/>
          <w:sz w:val="15"/>
          <w:szCs w:val="15"/>
        </w:rPr>
        <w:t>原价（销售企业的内部销售利润）</w:t>
      </w:r>
    </w:p>
    <w:p>
      <w:pPr>
        <w:autoSpaceDN w:val="0"/>
        <w:spacing w:line="160" w:lineRule="exact"/>
        <w:rPr>
          <w:rFonts w:ascii="宋体" w:cs="宋体"/>
          <w:sz w:val="15"/>
          <w:szCs w:val="15"/>
        </w:rPr>
      </w:pPr>
      <w:r>
        <w:rPr>
          <w:rFonts w:hint="eastAsia" w:ascii="宋体" w:hAnsi="宋体" w:cs="宋体"/>
          <w:sz w:val="15"/>
          <w:szCs w:val="15"/>
        </w:rPr>
        <w:t>当期购入并计提折旧的固定资产内部交易的抵消</w:t>
      </w:r>
    </w:p>
    <w:p>
      <w:pPr>
        <w:autoSpaceDN w:val="0"/>
        <w:spacing w:line="160" w:lineRule="exact"/>
        <w:rPr>
          <w:rFonts w:ascii="宋体" w:cs="宋体"/>
          <w:sz w:val="15"/>
          <w:szCs w:val="15"/>
        </w:rPr>
      </w:pPr>
      <w:r>
        <w:rPr>
          <w:rFonts w:hint="eastAsia" w:ascii="宋体" w:hAnsi="宋体" w:cs="宋体"/>
          <w:sz w:val="15"/>
          <w:szCs w:val="15"/>
        </w:rPr>
        <w:t>借：累计折旧</w:t>
      </w:r>
    </w:p>
    <w:p>
      <w:pPr>
        <w:autoSpaceDN w:val="0"/>
        <w:spacing w:line="160" w:lineRule="exact"/>
        <w:rPr>
          <w:rFonts w:ascii="宋体" w:cs="宋体"/>
          <w:sz w:val="15"/>
          <w:szCs w:val="15"/>
        </w:rPr>
      </w:pPr>
      <w:r>
        <w:rPr>
          <w:rFonts w:hint="eastAsia" w:ascii="宋体" w:hAnsi="宋体" w:cs="宋体"/>
          <w:sz w:val="15"/>
          <w:szCs w:val="15"/>
        </w:rPr>
        <w:t>贷：管理费用</w:t>
      </w:r>
      <w:r>
        <w:rPr>
          <w:rFonts w:ascii="宋体" w:cs="宋体"/>
          <w:sz w:val="15"/>
          <w:szCs w:val="15"/>
        </w:rPr>
        <w:t>----</w:t>
      </w:r>
      <w:r>
        <w:rPr>
          <w:rFonts w:hint="eastAsia" w:ascii="宋体" w:hAnsi="宋体" w:cs="宋体"/>
          <w:sz w:val="15"/>
          <w:szCs w:val="15"/>
        </w:rPr>
        <w:t>折旧费</w:t>
      </w:r>
    </w:p>
    <w:p>
      <w:pPr>
        <w:autoSpaceDN w:val="0"/>
        <w:spacing w:line="160" w:lineRule="exact"/>
        <w:rPr>
          <w:rFonts w:ascii="宋体" w:cs="宋体"/>
          <w:sz w:val="15"/>
          <w:szCs w:val="15"/>
        </w:rPr>
      </w:pPr>
      <w:r>
        <w:rPr>
          <w:rFonts w:hint="eastAsia" w:ascii="宋体" w:hAnsi="宋体" w:cs="宋体"/>
          <w:sz w:val="15"/>
          <w:szCs w:val="15"/>
        </w:rPr>
        <w:t>内部交易固定资产在用期间的抵消</w:t>
      </w:r>
    </w:p>
    <w:p>
      <w:pPr>
        <w:autoSpaceDN w:val="0"/>
        <w:spacing w:line="160" w:lineRule="exact"/>
        <w:rPr>
          <w:rFonts w:ascii="宋体" w:cs="宋体"/>
          <w:sz w:val="15"/>
          <w:szCs w:val="15"/>
        </w:rPr>
      </w:pPr>
      <w:r>
        <w:rPr>
          <w:rFonts w:hint="eastAsia" w:ascii="宋体" w:hAnsi="宋体" w:cs="宋体"/>
          <w:sz w:val="15"/>
          <w:szCs w:val="15"/>
        </w:rPr>
        <w:t>借：未分配利润</w:t>
      </w:r>
      <w:r>
        <w:rPr>
          <w:rFonts w:ascii="宋体" w:cs="宋体"/>
          <w:sz w:val="15"/>
          <w:szCs w:val="15"/>
        </w:rPr>
        <w:t>---</w:t>
      </w:r>
      <w:r>
        <w:rPr>
          <w:rFonts w:hint="eastAsia" w:ascii="宋体" w:hAnsi="宋体" w:cs="宋体"/>
          <w:sz w:val="15"/>
          <w:szCs w:val="15"/>
        </w:rPr>
        <w:t>年初</w:t>
      </w:r>
      <w:r>
        <w:rPr>
          <w:rFonts w:ascii="宋体" w:hAnsi="宋体" w:cs="宋体"/>
          <w:sz w:val="15"/>
          <w:szCs w:val="15"/>
        </w:rPr>
        <w:t xml:space="preserve"> 180000</w:t>
      </w:r>
    </w:p>
    <w:p>
      <w:pPr>
        <w:autoSpaceDN w:val="0"/>
        <w:spacing w:line="160" w:lineRule="exact"/>
        <w:rPr>
          <w:rFonts w:ascii="宋体" w:cs="宋体"/>
          <w:sz w:val="15"/>
          <w:szCs w:val="15"/>
        </w:rPr>
      </w:pPr>
      <w:r>
        <w:rPr>
          <w:rFonts w:hint="eastAsia" w:ascii="宋体" w:hAnsi="宋体" w:cs="宋体"/>
          <w:sz w:val="15"/>
          <w:szCs w:val="15"/>
        </w:rPr>
        <w:t>贷：固定资产</w:t>
      </w:r>
      <w:r>
        <w:rPr>
          <w:rFonts w:ascii="宋体" w:cs="宋体"/>
          <w:sz w:val="15"/>
          <w:szCs w:val="15"/>
        </w:rPr>
        <w:t>----</w:t>
      </w:r>
      <w:r>
        <w:rPr>
          <w:rFonts w:hint="eastAsia" w:ascii="宋体" w:hAnsi="宋体" w:cs="宋体"/>
          <w:sz w:val="15"/>
          <w:szCs w:val="15"/>
        </w:rPr>
        <w:t>原价</w:t>
      </w:r>
      <w:r>
        <w:rPr>
          <w:rFonts w:ascii="宋体" w:hAnsi="宋体" w:cs="宋体"/>
          <w:sz w:val="15"/>
          <w:szCs w:val="15"/>
        </w:rPr>
        <w:t xml:space="preserve">  180000</w:t>
      </w:r>
    </w:p>
    <w:p>
      <w:pPr>
        <w:autoSpaceDN w:val="0"/>
        <w:spacing w:line="160" w:lineRule="exact"/>
        <w:rPr>
          <w:rFonts w:ascii="宋体" w:cs="宋体"/>
          <w:sz w:val="15"/>
          <w:szCs w:val="15"/>
        </w:rPr>
      </w:pPr>
      <w:r>
        <w:rPr>
          <w:rFonts w:hint="eastAsia" w:ascii="宋体" w:hAnsi="宋体" w:cs="宋体"/>
          <w:sz w:val="15"/>
          <w:szCs w:val="15"/>
        </w:rPr>
        <w:t>同时，应当将当期多计提的折旧费用予以抵消，编制抵消分录如下</w:t>
      </w:r>
    </w:p>
    <w:p>
      <w:pPr>
        <w:autoSpaceDN w:val="0"/>
        <w:spacing w:line="160" w:lineRule="exact"/>
        <w:rPr>
          <w:rFonts w:ascii="宋体" w:cs="宋体"/>
          <w:sz w:val="15"/>
          <w:szCs w:val="15"/>
        </w:rPr>
      </w:pPr>
      <w:r>
        <w:rPr>
          <w:rFonts w:hint="eastAsia" w:ascii="宋体" w:hAnsi="宋体" w:cs="宋体"/>
          <w:sz w:val="15"/>
          <w:szCs w:val="15"/>
        </w:rPr>
        <w:t>借：固定资产</w:t>
      </w:r>
      <w:r>
        <w:rPr>
          <w:rFonts w:ascii="宋体" w:cs="宋体"/>
          <w:sz w:val="15"/>
          <w:szCs w:val="15"/>
        </w:rPr>
        <w:t>---</w:t>
      </w:r>
      <w:r>
        <w:rPr>
          <w:rFonts w:hint="eastAsia" w:ascii="宋体" w:hAnsi="宋体" w:cs="宋体"/>
          <w:sz w:val="15"/>
          <w:szCs w:val="15"/>
        </w:rPr>
        <w:t>累计折旧</w:t>
      </w:r>
      <w:r>
        <w:rPr>
          <w:rFonts w:ascii="宋体" w:hAnsi="宋体" w:cs="宋体"/>
          <w:sz w:val="15"/>
          <w:szCs w:val="15"/>
        </w:rPr>
        <w:t xml:space="preserve">  36000</w:t>
      </w:r>
    </w:p>
    <w:p>
      <w:pPr>
        <w:autoSpaceDN w:val="0"/>
        <w:spacing w:line="160" w:lineRule="exact"/>
        <w:rPr>
          <w:rFonts w:ascii="宋体" w:cs="宋体"/>
          <w:sz w:val="15"/>
          <w:szCs w:val="15"/>
        </w:rPr>
      </w:pPr>
      <w:r>
        <w:rPr>
          <w:rFonts w:hint="eastAsia" w:ascii="宋体" w:hAnsi="宋体" w:cs="宋体"/>
          <w:sz w:val="15"/>
          <w:szCs w:val="15"/>
        </w:rPr>
        <w:t>贷：管理费用</w:t>
      </w:r>
      <w:r>
        <w:rPr>
          <w:rFonts w:ascii="宋体" w:hAnsi="宋体" w:cs="宋体"/>
          <w:sz w:val="15"/>
          <w:szCs w:val="15"/>
        </w:rPr>
        <w:t xml:space="preserve">            36000</w:t>
      </w:r>
    </w:p>
    <w:p>
      <w:pPr>
        <w:autoSpaceDN w:val="0"/>
        <w:spacing w:line="160" w:lineRule="exact"/>
        <w:rPr>
          <w:rFonts w:ascii="宋体" w:cs="宋体"/>
          <w:sz w:val="15"/>
          <w:szCs w:val="15"/>
        </w:rPr>
      </w:pPr>
      <w:r>
        <w:rPr>
          <w:rFonts w:hint="eastAsia" w:ascii="宋体" w:hAnsi="宋体" w:cs="宋体"/>
          <w:sz w:val="15"/>
          <w:szCs w:val="15"/>
        </w:rPr>
        <w:t>内部交易固定资产清理的抵消</w:t>
      </w:r>
    </w:p>
    <w:p>
      <w:pPr>
        <w:autoSpaceDN w:val="0"/>
        <w:spacing w:line="160" w:lineRule="exact"/>
        <w:rPr>
          <w:rFonts w:ascii="宋体" w:cs="宋体"/>
          <w:sz w:val="15"/>
          <w:szCs w:val="15"/>
        </w:rPr>
      </w:pPr>
      <w:r>
        <w:rPr>
          <w:rFonts w:ascii="宋体" w:hAnsi="宋体" w:cs="宋体"/>
          <w:sz w:val="15"/>
          <w:szCs w:val="15"/>
        </w:rPr>
        <w:t>1</w:t>
      </w:r>
      <w:r>
        <w:rPr>
          <w:rFonts w:hint="eastAsia" w:ascii="宋体" w:hAnsi="宋体" w:cs="宋体"/>
          <w:sz w:val="15"/>
          <w:szCs w:val="15"/>
        </w:rPr>
        <w:t>，内部交易固定资产使用期满进行清理时的抵消</w:t>
      </w:r>
    </w:p>
    <w:p>
      <w:pPr>
        <w:autoSpaceDN w:val="0"/>
        <w:spacing w:line="160" w:lineRule="exact"/>
        <w:rPr>
          <w:rFonts w:ascii="宋体" w:cs="宋体"/>
          <w:sz w:val="15"/>
          <w:szCs w:val="15"/>
        </w:rPr>
      </w:pPr>
      <w:r>
        <w:rPr>
          <w:rFonts w:ascii="宋体" w:hAnsi="宋体" w:cs="宋体"/>
          <w:sz w:val="15"/>
          <w:szCs w:val="15"/>
        </w:rPr>
        <w:t xml:space="preserve">  </w:t>
      </w:r>
      <w:r>
        <w:rPr>
          <w:rFonts w:hint="eastAsia" w:ascii="宋体" w:hAnsi="宋体" w:cs="宋体"/>
          <w:sz w:val="15"/>
          <w:szCs w:val="15"/>
        </w:rPr>
        <w:t>借：未分配利润</w:t>
      </w:r>
      <w:r>
        <w:rPr>
          <w:rFonts w:ascii="宋体" w:cs="宋体"/>
          <w:sz w:val="15"/>
          <w:szCs w:val="15"/>
        </w:rPr>
        <w:t>----</w:t>
      </w:r>
      <w:r>
        <w:rPr>
          <w:rFonts w:hint="eastAsia" w:ascii="宋体" w:hAnsi="宋体" w:cs="宋体"/>
          <w:sz w:val="15"/>
          <w:szCs w:val="15"/>
        </w:rPr>
        <w:t>年初</w:t>
      </w:r>
      <w:r>
        <w:rPr>
          <w:rFonts w:ascii="宋体" w:hAnsi="宋体" w:cs="宋体"/>
          <w:sz w:val="15"/>
          <w:szCs w:val="15"/>
        </w:rPr>
        <w:t xml:space="preserve">   36000</w:t>
      </w:r>
    </w:p>
    <w:p>
      <w:pPr>
        <w:autoSpaceDN w:val="0"/>
        <w:spacing w:line="160" w:lineRule="exact"/>
        <w:rPr>
          <w:rFonts w:ascii="宋体" w:cs="宋体"/>
          <w:sz w:val="15"/>
          <w:szCs w:val="15"/>
        </w:rPr>
      </w:pPr>
      <w:r>
        <w:rPr>
          <w:rFonts w:ascii="宋体" w:hAnsi="宋体" w:cs="宋体"/>
          <w:sz w:val="15"/>
          <w:szCs w:val="15"/>
        </w:rPr>
        <w:t xml:space="preserve">  </w:t>
      </w:r>
      <w:r>
        <w:rPr>
          <w:rFonts w:hint="eastAsia" w:ascii="宋体" w:hAnsi="宋体" w:cs="宋体"/>
          <w:sz w:val="15"/>
          <w:szCs w:val="15"/>
        </w:rPr>
        <w:t>贷：管理费用</w:t>
      </w:r>
      <w:r>
        <w:rPr>
          <w:rFonts w:ascii="宋体" w:hAnsi="宋体" w:cs="宋体"/>
          <w:sz w:val="15"/>
          <w:szCs w:val="15"/>
        </w:rPr>
        <w:t xml:space="preserve">            36000</w:t>
      </w:r>
    </w:p>
    <w:p>
      <w:pPr>
        <w:autoSpaceDN w:val="0"/>
        <w:spacing w:line="160" w:lineRule="exact"/>
        <w:rPr>
          <w:rFonts w:ascii="宋体" w:cs="宋体"/>
          <w:sz w:val="15"/>
          <w:szCs w:val="15"/>
        </w:rPr>
      </w:pPr>
      <w:r>
        <w:rPr>
          <w:rFonts w:ascii="宋体" w:hAnsi="宋体" w:cs="宋体"/>
          <w:sz w:val="15"/>
          <w:szCs w:val="15"/>
        </w:rPr>
        <w:t>2</w:t>
      </w:r>
      <w:r>
        <w:rPr>
          <w:rFonts w:hint="eastAsia" w:ascii="宋体" w:hAnsi="宋体" w:cs="宋体"/>
          <w:sz w:val="15"/>
          <w:szCs w:val="15"/>
        </w:rPr>
        <w:t>，内部交易固定资产提前进行清理时的抵消。</w:t>
      </w:r>
    </w:p>
    <w:p>
      <w:pPr>
        <w:autoSpaceDN w:val="0"/>
        <w:spacing w:line="160" w:lineRule="exact"/>
        <w:rPr>
          <w:rFonts w:ascii="宋体" w:cs="宋体"/>
          <w:sz w:val="15"/>
          <w:szCs w:val="15"/>
        </w:rPr>
      </w:pPr>
      <w:r>
        <w:rPr>
          <w:rFonts w:ascii="宋体" w:hAnsi="宋体" w:cs="宋体"/>
          <w:sz w:val="15"/>
          <w:szCs w:val="15"/>
        </w:rPr>
        <w:t xml:space="preserve">  </w:t>
      </w:r>
      <w:r>
        <w:rPr>
          <w:rFonts w:hint="eastAsia" w:ascii="宋体" w:hAnsi="宋体" w:cs="宋体"/>
          <w:sz w:val="15"/>
          <w:szCs w:val="15"/>
        </w:rPr>
        <w:t>借：未分配利润</w:t>
      </w:r>
      <w:r>
        <w:rPr>
          <w:rFonts w:ascii="宋体" w:cs="宋体"/>
          <w:sz w:val="15"/>
          <w:szCs w:val="15"/>
        </w:rPr>
        <w:t>----</w:t>
      </w:r>
      <w:r>
        <w:rPr>
          <w:rFonts w:hint="eastAsia" w:ascii="宋体" w:hAnsi="宋体" w:cs="宋体"/>
          <w:sz w:val="15"/>
          <w:szCs w:val="15"/>
        </w:rPr>
        <w:t>年初</w:t>
      </w:r>
      <w:r>
        <w:rPr>
          <w:rFonts w:ascii="宋体" w:hAnsi="宋体" w:cs="宋体"/>
          <w:sz w:val="15"/>
          <w:szCs w:val="15"/>
        </w:rPr>
        <w:t xml:space="preserve">   180000</w:t>
      </w:r>
    </w:p>
    <w:p>
      <w:pPr>
        <w:autoSpaceDN w:val="0"/>
        <w:spacing w:line="160" w:lineRule="exact"/>
        <w:rPr>
          <w:rFonts w:ascii="宋体" w:cs="宋体"/>
          <w:sz w:val="15"/>
          <w:szCs w:val="15"/>
        </w:rPr>
      </w:pPr>
      <w:r>
        <w:rPr>
          <w:rFonts w:ascii="宋体" w:hAnsi="宋体" w:cs="宋体"/>
          <w:sz w:val="15"/>
          <w:szCs w:val="15"/>
        </w:rPr>
        <w:t xml:space="preserve">  </w:t>
      </w:r>
      <w:r>
        <w:rPr>
          <w:rFonts w:hint="eastAsia" w:ascii="宋体" w:hAnsi="宋体" w:cs="宋体"/>
          <w:sz w:val="15"/>
          <w:szCs w:val="15"/>
        </w:rPr>
        <w:t>贷：营业外收入</w:t>
      </w:r>
      <w:r>
        <w:rPr>
          <w:rFonts w:ascii="宋体" w:hAnsi="宋体" w:cs="宋体"/>
          <w:sz w:val="15"/>
          <w:szCs w:val="15"/>
        </w:rPr>
        <w:t xml:space="preserve">          180000</w:t>
      </w:r>
    </w:p>
    <w:p>
      <w:pPr>
        <w:autoSpaceDN w:val="0"/>
        <w:spacing w:line="160" w:lineRule="exact"/>
        <w:rPr>
          <w:rFonts w:ascii="宋体" w:cs="宋体"/>
          <w:sz w:val="15"/>
          <w:szCs w:val="15"/>
        </w:rPr>
      </w:pPr>
      <w:r>
        <w:rPr>
          <w:rFonts w:ascii="宋体" w:hAnsi="宋体" w:cs="宋体"/>
          <w:sz w:val="15"/>
          <w:szCs w:val="15"/>
        </w:rPr>
        <w:t xml:space="preserve">  </w:t>
      </w:r>
      <w:r>
        <w:rPr>
          <w:rFonts w:hint="eastAsia" w:ascii="宋体" w:hAnsi="宋体" w:cs="宋体"/>
          <w:sz w:val="15"/>
          <w:szCs w:val="15"/>
        </w:rPr>
        <w:t>同时，应当将本期多计提的折旧费用抵消，并调整期初末分配利润，编制抵消分录如下：</w:t>
      </w:r>
    </w:p>
    <w:p>
      <w:pPr>
        <w:autoSpaceDN w:val="0"/>
        <w:spacing w:line="160" w:lineRule="exact"/>
        <w:rPr>
          <w:rFonts w:ascii="宋体" w:cs="宋体"/>
          <w:sz w:val="15"/>
          <w:szCs w:val="15"/>
        </w:rPr>
      </w:pPr>
      <w:r>
        <w:rPr>
          <w:rFonts w:ascii="宋体" w:hAnsi="宋体" w:cs="宋体"/>
          <w:sz w:val="15"/>
          <w:szCs w:val="15"/>
        </w:rPr>
        <w:t xml:space="preserve">  </w:t>
      </w:r>
      <w:r>
        <w:rPr>
          <w:rFonts w:hint="eastAsia" w:ascii="宋体" w:hAnsi="宋体" w:cs="宋体"/>
          <w:sz w:val="15"/>
          <w:szCs w:val="15"/>
        </w:rPr>
        <w:t>借：未分配利润</w:t>
      </w:r>
      <w:r>
        <w:rPr>
          <w:rFonts w:ascii="宋体" w:cs="宋体"/>
          <w:sz w:val="15"/>
          <w:szCs w:val="15"/>
        </w:rPr>
        <w:t>----</w:t>
      </w:r>
      <w:r>
        <w:rPr>
          <w:rFonts w:hint="eastAsia" w:ascii="宋体" w:hAnsi="宋体" w:cs="宋体"/>
          <w:sz w:val="15"/>
          <w:szCs w:val="15"/>
        </w:rPr>
        <w:t>年初</w:t>
      </w:r>
      <w:r>
        <w:rPr>
          <w:rFonts w:ascii="宋体" w:hAnsi="宋体" w:cs="宋体"/>
          <w:sz w:val="15"/>
          <w:szCs w:val="15"/>
        </w:rPr>
        <w:t xml:space="preserve">    36000</w:t>
      </w:r>
    </w:p>
    <w:p>
      <w:pPr>
        <w:autoSpaceDN w:val="0"/>
        <w:spacing w:line="160" w:lineRule="exact"/>
        <w:rPr>
          <w:rFonts w:ascii="宋体" w:cs="宋体"/>
          <w:sz w:val="15"/>
          <w:szCs w:val="15"/>
        </w:rPr>
      </w:pPr>
      <w:r>
        <w:rPr>
          <w:rFonts w:ascii="宋体" w:hAnsi="宋体" w:cs="宋体"/>
          <w:sz w:val="15"/>
          <w:szCs w:val="15"/>
        </w:rPr>
        <w:t xml:space="preserve">  </w:t>
      </w:r>
      <w:r>
        <w:rPr>
          <w:rFonts w:hint="eastAsia" w:ascii="宋体" w:hAnsi="宋体" w:cs="宋体"/>
          <w:sz w:val="15"/>
          <w:szCs w:val="15"/>
        </w:rPr>
        <w:t>贷：管理费用</w:t>
      </w:r>
      <w:r>
        <w:rPr>
          <w:rFonts w:ascii="宋体" w:hAnsi="宋体" w:cs="宋体"/>
          <w:sz w:val="15"/>
          <w:szCs w:val="15"/>
        </w:rPr>
        <w:t xml:space="preserve">             36000</w:t>
      </w:r>
    </w:p>
    <w:p>
      <w:pPr>
        <w:autoSpaceDN w:val="0"/>
        <w:spacing w:line="160" w:lineRule="exact"/>
        <w:rPr>
          <w:rFonts w:ascii="宋体" w:cs="宋体"/>
          <w:b/>
          <w:bCs/>
          <w:sz w:val="15"/>
          <w:szCs w:val="15"/>
        </w:rPr>
      </w:pPr>
      <w:r>
        <w:rPr>
          <w:rFonts w:hint="eastAsia" w:ascii="宋体" w:hAnsi="宋体" w:cs="宋体"/>
          <w:b/>
          <w:bCs/>
          <w:sz w:val="15"/>
          <w:szCs w:val="15"/>
        </w:rPr>
        <w:t>合并现金流量表的作用</w:t>
      </w:r>
    </w:p>
    <w:p>
      <w:pPr>
        <w:autoSpaceDN w:val="0"/>
        <w:spacing w:line="160" w:lineRule="exact"/>
        <w:rPr>
          <w:rFonts w:ascii="宋体" w:cs="宋体"/>
          <w:sz w:val="15"/>
          <w:szCs w:val="15"/>
        </w:rPr>
      </w:pPr>
      <w:r>
        <w:rPr>
          <w:rFonts w:hint="eastAsia" w:ascii="宋体" w:hAnsi="宋体" w:cs="宋体"/>
          <w:sz w:val="15"/>
          <w:szCs w:val="15"/>
        </w:rPr>
        <w:t>合并现金流量表时综合反映母公司和子公司所形成的企业集团在一定期间现金和现金等价物流入量、流出量以及净增减变动情况的会计报表。它是以合并资产负债表、合并利润表、合并所有者权益变动表，以及其他有关影响现金流量的资料为依据进行编制而成的。</w:t>
      </w:r>
    </w:p>
    <w:p>
      <w:pPr>
        <w:autoSpaceDN w:val="0"/>
        <w:spacing w:line="160" w:lineRule="exact"/>
        <w:rPr>
          <w:rFonts w:ascii="宋体" w:cs="宋体"/>
          <w:sz w:val="15"/>
          <w:szCs w:val="15"/>
        </w:rPr>
      </w:pPr>
      <w:r>
        <w:rPr>
          <w:rFonts w:hint="eastAsia" w:ascii="宋体" w:hAnsi="宋体" w:cs="宋体"/>
          <w:b/>
          <w:bCs/>
          <w:sz w:val="15"/>
          <w:szCs w:val="15"/>
        </w:rPr>
        <w:t>通货膨胀</w:t>
      </w:r>
      <w:r>
        <w:rPr>
          <w:rFonts w:hint="eastAsia" w:ascii="宋体" w:hAnsi="宋体" w:cs="宋体"/>
          <w:sz w:val="15"/>
          <w:szCs w:val="15"/>
        </w:rPr>
        <w:t>是在商品经济条件下，由于货币发行量超过商品流通正常需要而造成的单位币值降低和以货币计量的商品价格上涨的经济现象。它表现为一般物价水平的持续上升和货币购买力的持续下降。</w:t>
      </w:r>
    </w:p>
    <w:p>
      <w:pPr>
        <w:autoSpaceDN w:val="0"/>
        <w:spacing w:line="160" w:lineRule="exact"/>
        <w:rPr>
          <w:rFonts w:ascii="宋体" w:cs="宋体"/>
          <w:sz w:val="15"/>
          <w:szCs w:val="15"/>
        </w:rPr>
      </w:pPr>
      <w:r>
        <w:rPr>
          <w:rFonts w:hint="eastAsia" w:ascii="宋体" w:hAnsi="宋体" w:cs="宋体"/>
          <w:b/>
          <w:bCs/>
          <w:sz w:val="15"/>
          <w:szCs w:val="15"/>
        </w:rPr>
        <w:t>物价指数</w:t>
      </w:r>
      <w:r>
        <w:rPr>
          <w:rFonts w:hint="eastAsia" w:ascii="宋体" w:hAnsi="宋体" w:cs="宋体"/>
          <w:sz w:val="15"/>
          <w:szCs w:val="15"/>
        </w:rPr>
        <w:t>是指某一时期商品或劳动力价格与基期的商品或劳动力价格的比率。物价指数可分为一般物价指数和个别物价指数。</w:t>
      </w:r>
    </w:p>
    <w:p>
      <w:pPr>
        <w:autoSpaceDN w:val="0"/>
        <w:spacing w:line="160" w:lineRule="exact"/>
        <w:rPr>
          <w:rFonts w:ascii="宋体" w:cs="宋体"/>
          <w:sz w:val="15"/>
          <w:szCs w:val="15"/>
        </w:rPr>
      </w:pPr>
      <w:r>
        <w:rPr>
          <w:rFonts w:hint="eastAsia" w:ascii="宋体" w:hAnsi="宋体" w:cs="宋体"/>
          <w:b/>
          <w:bCs/>
          <w:sz w:val="15"/>
          <w:szCs w:val="15"/>
        </w:rPr>
        <w:t>一般物价指数</w:t>
      </w:r>
      <w:r>
        <w:rPr>
          <w:rFonts w:hint="eastAsia" w:ascii="宋体" w:hAnsi="宋体" w:cs="宋体"/>
          <w:sz w:val="15"/>
          <w:szCs w:val="15"/>
        </w:rPr>
        <w:t>反映范围广泛的商品综合价格的变动情况，因此，一般物价指数的变动又称一般物价水平变动。</w:t>
      </w:r>
    </w:p>
    <w:p>
      <w:pPr>
        <w:autoSpaceDN w:val="0"/>
        <w:spacing w:line="160" w:lineRule="exact"/>
        <w:rPr>
          <w:rFonts w:ascii="宋体" w:cs="宋体"/>
          <w:sz w:val="15"/>
          <w:szCs w:val="15"/>
        </w:rPr>
      </w:pPr>
      <w:r>
        <w:rPr>
          <w:rFonts w:hint="eastAsia" w:ascii="宋体" w:hAnsi="宋体" w:cs="宋体"/>
          <w:b/>
          <w:bCs/>
          <w:sz w:val="15"/>
          <w:szCs w:val="15"/>
        </w:rPr>
        <w:t>个别物价指数</w:t>
      </w:r>
      <w:r>
        <w:rPr>
          <w:rFonts w:hint="eastAsia" w:ascii="宋体" w:hAnsi="宋体" w:cs="宋体"/>
          <w:sz w:val="15"/>
          <w:szCs w:val="15"/>
        </w:rPr>
        <w:t>则反映个别商品的价格变动（又称</w:t>
      </w:r>
      <w:r>
        <w:rPr>
          <w:rFonts w:ascii="宋体" w:hAnsi="宋体" w:cs="宋体"/>
          <w:sz w:val="15"/>
          <w:szCs w:val="15"/>
        </w:rPr>
        <w:t xml:space="preserve"> </w:t>
      </w:r>
      <w:r>
        <w:rPr>
          <w:rFonts w:hint="eastAsia" w:ascii="宋体" w:hAnsi="宋体" w:cs="宋体"/>
          <w:sz w:val="15"/>
          <w:szCs w:val="15"/>
        </w:rPr>
        <w:t>个别物价水平变动）的情况。</w:t>
      </w:r>
    </w:p>
    <w:p>
      <w:pPr>
        <w:autoSpaceDN w:val="0"/>
        <w:spacing w:line="160" w:lineRule="exact"/>
        <w:rPr>
          <w:rFonts w:ascii="宋体" w:cs="宋体"/>
          <w:sz w:val="15"/>
          <w:szCs w:val="15"/>
        </w:rPr>
      </w:pPr>
      <w:r>
        <w:rPr>
          <w:rFonts w:ascii="宋体" w:hAnsi="宋体" w:cs="宋体"/>
          <w:sz w:val="15"/>
          <w:szCs w:val="15"/>
        </w:rPr>
        <w:t xml:space="preserve"> </w:t>
      </w:r>
      <w:r>
        <w:rPr>
          <w:rFonts w:ascii="宋体" w:hAnsi="宋体" w:cs="宋体"/>
          <w:b/>
          <w:sz w:val="15"/>
          <w:szCs w:val="15"/>
        </w:rPr>
        <w:t xml:space="preserve"> </w:t>
      </w:r>
      <w:r>
        <w:rPr>
          <w:rFonts w:hint="eastAsia" w:ascii="宋体" w:hAnsi="宋体" w:cs="宋体"/>
          <w:b/>
          <w:sz w:val="15"/>
          <w:szCs w:val="15"/>
        </w:rPr>
        <w:t>付出存货成本计算的后进先出发：</w:t>
      </w:r>
      <w:r>
        <w:rPr>
          <w:rFonts w:hint="eastAsia" w:ascii="宋体" w:hAnsi="宋体" w:cs="宋体"/>
          <w:sz w:val="15"/>
          <w:szCs w:val="15"/>
        </w:rPr>
        <w:t>是在存货的流动中计算销售和耗用的存货成本时，以最后收进存货的成本作为最先付出存货成本的原则，以此类推，用以确定本期付出存货成本总额的方法。</w:t>
      </w:r>
    </w:p>
    <w:p>
      <w:pPr>
        <w:autoSpaceDN w:val="0"/>
        <w:spacing w:line="160" w:lineRule="exact"/>
        <w:rPr>
          <w:rFonts w:ascii="宋体" w:cs="宋体"/>
          <w:sz w:val="15"/>
          <w:szCs w:val="15"/>
        </w:rPr>
      </w:pPr>
      <w:r>
        <w:rPr>
          <w:rFonts w:ascii="宋体" w:hAnsi="宋体" w:cs="宋体"/>
          <w:sz w:val="15"/>
          <w:szCs w:val="15"/>
        </w:rPr>
        <w:t xml:space="preserve">  </w:t>
      </w:r>
      <w:r>
        <w:rPr>
          <w:rFonts w:hint="eastAsia" w:ascii="宋体" w:hAnsi="宋体" w:cs="宋体"/>
          <w:b/>
          <w:sz w:val="15"/>
          <w:szCs w:val="15"/>
        </w:rPr>
        <w:t>固定资产加速折旧法：</w:t>
      </w:r>
      <w:r>
        <w:rPr>
          <w:rFonts w:hint="eastAsia" w:ascii="宋体" w:hAnsi="宋体" w:cs="宋体"/>
          <w:sz w:val="15"/>
          <w:szCs w:val="15"/>
        </w:rPr>
        <w:t>是对在用的固定资产计提折旧总额和年限不变的情况下，在使用初期多计提折旧额，后期少提折旧额，以使所用固定资产磨损的大部分价值能在较前的几个使用期间内收回，保证所所耗资产的价值得到及早的补偿的一种方法。</w:t>
      </w:r>
    </w:p>
    <w:p>
      <w:pPr>
        <w:autoSpaceDN w:val="0"/>
        <w:spacing w:line="160" w:lineRule="exact"/>
        <w:rPr>
          <w:rFonts w:ascii="宋体" w:cs="宋体"/>
          <w:sz w:val="15"/>
          <w:szCs w:val="15"/>
        </w:rPr>
      </w:pPr>
      <w:r>
        <w:rPr>
          <w:rFonts w:ascii="宋体" w:hAnsi="宋体" w:cs="宋体"/>
          <w:sz w:val="15"/>
          <w:szCs w:val="15"/>
        </w:rPr>
        <w:t xml:space="preserve">  </w:t>
      </w:r>
      <w:r>
        <w:rPr>
          <w:rFonts w:hint="eastAsia" w:ascii="宋体" w:hAnsi="宋体" w:cs="宋体"/>
          <w:b/>
          <w:sz w:val="15"/>
          <w:szCs w:val="15"/>
        </w:rPr>
        <w:t>通货膨胀会计的计价单位：</w:t>
      </w:r>
      <w:r>
        <w:rPr>
          <w:rFonts w:hint="eastAsia" w:ascii="宋体" w:hAnsi="宋体" w:cs="宋体"/>
          <w:sz w:val="15"/>
          <w:szCs w:val="15"/>
        </w:rPr>
        <w:t>名义货币，等值货币。对于这样在现时流通中货币单位虽然不变但其单位货币所含价值量不断改变的货币，我们称其为名义货币。与名义货币相对应的概念是等值货币，即单位货币不同时期所含价值量相等的货币。</w:t>
      </w:r>
    </w:p>
    <w:p>
      <w:pPr>
        <w:autoSpaceDN w:val="0"/>
        <w:spacing w:line="160" w:lineRule="exact"/>
        <w:rPr>
          <w:rFonts w:ascii="宋体" w:cs="宋体"/>
          <w:sz w:val="15"/>
          <w:szCs w:val="15"/>
        </w:rPr>
      </w:pPr>
      <w:r>
        <w:rPr>
          <w:rFonts w:hint="eastAsia" w:ascii="宋体" w:hAnsi="宋体" w:cs="宋体"/>
          <w:b/>
          <w:sz w:val="15"/>
          <w:szCs w:val="15"/>
        </w:rPr>
        <w:t>通货膨胀会计的计价基准：</w:t>
      </w:r>
      <w:r>
        <w:rPr>
          <w:rFonts w:ascii="宋体" w:hAnsi="宋体" w:cs="宋体"/>
          <w:sz w:val="15"/>
          <w:szCs w:val="15"/>
        </w:rPr>
        <w:t>1</w:t>
      </w:r>
      <w:r>
        <w:rPr>
          <w:rFonts w:hint="eastAsia" w:ascii="宋体" w:hAnsi="宋体" w:cs="宋体"/>
          <w:sz w:val="15"/>
          <w:szCs w:val="15"/>
        </w:rPr>
        <w:t>，历史成本。</w:t>
      </w:r>
      <w:r>
        <w:rPr>
          <w:rFonts w:ascii="宋体" w:hAnsi="宋体" w:cs="宋体"/>
          <w:sz w:val="15"/>
          <w:szCs w:val="15"/>
        </w:rPr>
        <w:t>2</w:t>
      </w:r>
      <w:r>
        <w:rPr>
          <w:rFonts w:hint="eastAsia" w:ascii="宋体" w:hAnsi="宋体" w:cs="宋体"/>
          <w:sz w:val="15"/>
          <w:szCs w:val="15"/>
        </w:rPr>
        <w:t>，现时成本。</w:t>
      </w:r>
      <w:r>
        <w:rPr>
          <w:rFonts w:ascii="宋体" w:hAnsi="宋体" w:cs="宋体"/>
          <w:sz w:val="15"/>
          <w:szCs w:val="15"/>
        </w:rPr>
        <w:t>3</w:t>
      </w:r>
      <w:r>
        <w:rPr>
          <w:rFonts w:hint="eastAsia" w:ascii="宋体" w:hAnsi="宋体" w:cs="宋体"/>
          <w:sz w:val="15"/>
          <w:szCs w:val="15"/>
        </w:rPr>
        <w:t>，物价不变。</w:t>
      </w:r>
      <w:r>
        <w:rPr>
          <w:rFonts w:ascii="宋体" w:hAnsi="宋体" w:cs="宋体"/>
          <w:sz w:val="15"/>
          <w:szCs w:val="15"/>
        </w:rPr>
        <w:t>4</w:t>
      </w:r>
      <w:r>
        <w:rPr>
          <w:rFonts w:hint="eastAsia" w:ascii="宋体" w:hAnsi="宋体" w:cs="宋体"/>
          <w:sz w:val="15"/>
          <w:szCs w:val="15"/>
        </w:rPr>
        <w:t>，物价变动。</w:t>
      </w:r>
      <w:r>
        <w:rPr>
          <w:rFonts w:ascii="宋体" w:hAnsi="宋体" w:cs="宋体"/>
          <w:sz w:val="15"/>
          <w:szCs w:val="15"/>
        </w:rPr>
        <w:t xml:space="preserve">  </w:t>
      </w:r>
      <w:r>
        <w:rPr>
          <w:rFonts w:hint="eastAsia" w:ascii="宋体" w:hAnsi="宋体" w:cs="宋体"/>
          <w:sz w:val="15"/>
          <w:szCs w:val="15"/>
        </w:rPr>
        <w:t>计价基准是指会计对象计价所依据的基础与标准，是影响会计对象计价结果的重要因素。</w:t>
      </w:r>
      <w:r>
        <w:rPr>
          <w:rFonts w:ascii="宋体" w:hAnsi="宋体" w:cs="宋体"/>
          <w:sz w:val="15"/>
          <w:szCs w:val="15"/>
        </w:rPr>
        <w:t xml:space="preserve">   </w:t>
      </w:r>
      <w:r>
        <w:rPr>
          <w:rFonts w:hint="eastAsia" w:ascii="宋体" w:hAnsi="宋体" w:cs="宋体"/>
          <w:sz w:val="15"/>
          <w:szCs w:val="15"/>
        </w:rPr>
        <w:t>历史成本：是指取得某项资产时的实际成本。现时成本：是在现时市场价格条件下取得与企业现有的某项相同（或类似）的资产所需付出的实际成本。</w:t>
      </w:r>
      <w:r>
        <w:rPr>
          <w:rFonts w:ascii="宋体" w:hAnsi="宋体" w:cs="宋体"/>
          <w:sz w:val="15"/>
          <w:szCs w:val="15"/>
        </w:rPr>
        <w:t xml:space="preserve"> </w:t>
      </w:r>
      <w:r>
        <w:rPr>
          <w:rFonts w:hint="eastAsia" w:ascii="宋体" w:hAnsi="宋体" w:cs="宋体"/>
          <w:sz w:val="15"/>
          <w:szCs w:val="15"/>
        </w:rPr>
        <w:t>资产的现实成本还可按其取得的不同划分为现时重置成本和现时再生产成本。对物价变动这一计价基准还可进一步划分为一般物价水平变动和个别物价水平变动。</w:t>
      </w:r>
    </w:p>
    <w:p>
      <w:pPr>
        <w:autoSpaceDN w:val="0"/>
        <w:spacing w:line="160" w:lineRule="exact"/>
        <w:rPr>
          <w:rFonts w:ascii="宋体" w:cs="宋体"/>
          <w:sz w:val="15"/>
          <w:szCs w:val="15"/>
        </w:rPr>
      </w:pPr>
      <w:r>
        <w:rPr>
          <w:rFonts w:hint="eastAsia" w:ascii="宋体" w:hAnsi="宋体" w:cs="宋体"/>
          <w:b/>
          <w:bCs/>
          <w:sz w:val="15"/>
          <w:szCs w:val="15"/>
        </w:rPr>
        <w:t>通话膨胀会计模式的种类形成四种不同模式：</w:t>
      </w:r>
      <w:r>
        <w:rPr>
          <w:rFonts w:hint="eastAsia" w:ascii="宋体" w:hAnsi="宋体" w:cs="宋体"/>
          <w:sz w:val="15"/>
          <w:szCs w:val="15"/>
        </w:rPr>
        <w:t>一般物价水平会计、现时成本会计、现时成本</w:t>
      </w:r>
      <w:r>
        <w:rPr>
          <w:rFonts w:ascii="宋体" w:hAnsi="宋体" w:cs="宋体"/>
          <w:sz w:val="15"/>
          <w:szCs w:val="15"/>
        </w:rPr>
        <w:t>/</w:t>
      </w:r>
      <w:r>
        <w:rPr>
          <w:rFonts w:hint="eastAsia" w:ascii="宋体" w:hAnsi="宋体" w:cs="宋体"/>
          <w:sz w:val="15"/>
          <w:szCs w:val="15"/>
        </w:rPr>
        <w:t>等值货币会计和变现价值会计。</w:t>
      </w:r>
    </w:p>
    <w:p>
      <w:pPr>
        <w:autoSpaceDN w:val="0"/>
        <w:spacing w:line="160" w:lineRule="exact"/>
        <w:rPr>
          <w:rFonts w:ascii="宋体" w:cs="宋体"/>
          <w:sz w:val="15"/>
          <w:szCs w:val="15"/>
        </w:rPr>
      </w:pPr>
      <w:r>
        <w:rPr>
          <w:rFonts w:hint="eastAsia" w:ascii="宋体" w:hAnsi="宋体" w:cs="宋体"/>
          <w:b/>
          <w:bCs/>
          <w:sz w:val="15"/>
          <w:szCs w:val="15"/>
        </w:rPr>
        <w:t>一般物价水平会计</w:t>
      </w:r>
      <w:r>
        <w:rPr>
          <w:rFonts w:hint="eastAsia" w:ascii="宋体" w:hAnsi="宋体" w:cs="宋体"/>
          <w:sz w:val="15"/>
          <w:szCs w:val="15"/>
        </w:rPr>
        <w:t>是以期末名义货币为等值货币作计价单位，以资产的历史成本和一般物价水平变动为计价基准。</w:t>
      </w:r>
    </w:p>
    <w:p>
      <w:pPr>
        <w:autoSpaceDN w:val="0"/>
        <w:spacing w:line="160" w:lineRule="exact"/>
        <w:rPr>
          <w:rFonts w:ascii="宋体" w:cs="宋体"/>
          <w:sz w:val="15"/>
          <w:szCs w:val="15"/>
        </w:rPr>
      </w:pPr>
      <w:r>
        <w:rPr>
          <w:rFonts w:hint="eastAsia" w:ascii="宋体" w:hAnsi="宋体" w:cs="宋体"/>
          <w:b/>
          <w:bCs/>
          <w:sz w:val="15"/>
          <w:szCs w:val="15"/>
        </w:rPr>
        <w:t>现时成本会计</w:t>
      </w:r>
      <w:r>
        <w:rPr>
          <w:rFonts w:hint="eastAsia" w:ascii="宋体" w:hAnsi="宋体" w:cs="宋体"/>
          <w:sz w:val="15"/>
          <w:szCs w:val="15"/>
        </w:rPr>
        <w:t>是以名义货币为计价单位和以资产的现时成本与个别物价水平变动为计价基准。</w:t>
      </w:r>
    </w:p>
    <w:p>
      <w:pPr>
        <w:autoSpaceDN w:val="0"/>
        <w:spacing w:line="160" w:lineRule="exact"/>
        <w:rPr>
          <w:rFonts w:ascii="宋体" w:cs="宋体"/>
          <w:sz w:val="15"/>
          <w:szCs w:val="15"/>
        </w:rPr>
      </w:pPr>
      <w:r>
        <w:rPr>
          <w:rFonts w:hint="eastAsia" w:ascii="宋体" w:hAnsi="宋体" w:cs="宋体"/>
          <w:b/>
          <w:bCs/>
          <w:sz w:val="15"/>
          <w:szCs w:val="15"/>
        </w:rPr>
        <w:t>通货膨胀会计特有会计概念的产生</w:t>
      </w:r>
      <w:r>
        <w:rPr>
          <w:rFonts w:hint="eastAsia" w:ascii="宋体" w:hAnsi="宋体" w:cs="宋体"/>
          <w:sz w:val="15"/>
          <w:szCs w:val="15"/>
        </w:rPr>
        <w:t>：名义货币和等价货币，等值货币是指不同时期单位货币所含价值量相等的货币，又称币值不变货币。历史成本和现时成本</w:t>
      </w:r>
      <w:r>
        <w:rPr>
          <w:rFonts w:ascii="宋体" w:hAnsi="宋体" w:cs="宋体"/>
          <w:sz w:val="15"/>
          <w:szCs w:val="15"/>
        </w:rPr>
        <w:t xml:space="preserve"> </w:t>
      </w:r>
      <w:r>
        <w:rPr>
          <w:rFonts w:hint="eastAsia" w:ascii="宋体" w:hAnsi="宋体" w:cs="宋体"/>
          <w:sz w:val="15"/>
          <w:szCs w:val="15"/>
        </w:rPr>
        <w:t>财务资本和实物资本</w:t>
      </w:r>
    </w:p>
    <w:p>
      <w:pPr>
        <w:autoSpaceDN w:val="0"/>
        <w:spacing w:line="160" w:lineRule="exact"/>
        <w:rPr>
          <w:rFonts w:ascii="宋体" w:cs="宋体"/>
          <w:sz w:val="15"/>
          <w:szCs w:val="15"/>
        </w:rPr>
      </w:pPr>
      <w:r>
        <w:rPr>
          <w:rFonts w:hint="eastAsia" w:ascii="宋体" w:hAnsi="宋体" w:cs="宋体"/>
          <w:b/>
          <w:sz w:val="15"/>
          <w:szCs w:val="15"/>
        </w:rPr>
        <w:t>实物资本</w:t>
      </w:r>
      <w:r>
        <w:rPr>
          <w:rFonts w:hint="eastAsia" w:ascii="宋体" w:hAnsi="宋体" w:cs="宋体"/>
          <w:sz w:val="15"/>
          <w:szCs w:val="15"/>
        </w:rPr>
        <w:t>是将资本看作是所有者投入企业的实物生产能力或经营能力，或获得该项能力所拥有的资源或资金，它反映企业所拥有的一定生产能力或经营能力，以与其相当的实物量的现时购买力的货币数量表示。</w:t>
      </w:r>
    </w:p>
    <w:p>
      <w:pPr>
        <w:autoSpaceDN w:val="0"/>
        <w:spacing w:line="160" w:lineRule="exact"/>
        <w:rPr>
          <w:rFonts w:ascii="宋体" w:cs="宋体"/>
          <w:sz w:val="15"/>
          <w:szCs w:val="15"/>
        </w:rPr>
      </w:pPr>
      <w:r>
        <w:rPr>
          <w:rFonts w:hint="eastAsia" w:ascii="宋体" w:hAnsi="宋体" w:cs="宋体"/>
          <w:b/>
          <w:bCs/>
          <w:sz w:val="15"/>
          <w:szCs w:val="15"/>
        </w:rPr>
        <w:t>财务资本维护和实物资本维护</w:t>
      </w:r>
      <w:r>
        <w:rPr>
          <w:rFonts w:ascii="宋体" w:hAnsi="宋体" w:cs="宋体"/>
          <w:sz w:val="15"/>
          <w:szCs w:val="15"/>
        </w:rPr>
        <w:t xml:space="preserve"> </w:t>
      </w:r>
      <w:r>
        <w:rPr>
          <w:rFonts w:hint="eastAsia" w:ascii="宋体" w:hAnsi="宋体" w:cs="宋体"/>
          <w:sz w:val="15"/>
          <w:szCs w:val="15"/>
        </w:rPr>
        <w:t>财务资本维护，是指维护企业资本多拥有的购买力规模，所需收回的已耗资本的数额应当收回相当于已耗资本购买力的价值量确定。</w:t>
      </w:r>
      <w:r>
        <w:rPr>
          <w:rFonts w:ascii="宋体" w:hAnsi="宋体" w:cs="宋体"/>
          <w:sz w:val="15"/>
          <w:szCs w:val="15"/>
        </w:rPr>
        <w:t xml:space="preserve">  </w:t>
      </w:r>
    </w:p>
    <w:p>
      <w:pPr>
        <w:autoSpaceDN w:val="0"/>
        <w:spacing w:line="160" w:lineRule="exact"/>
        <w:rPr>
          <w:rFonts w:ascii="宋体" w:cs="宋体"/>
          <w:sz w:val="15"/>
          <w:szCs w:val="15"/>
        </w:rPr>
      </w:pPr>
      <w:r>
        <w:rPr>
          <w:rFonts w:hint="eastAsia" w:ascii="宋体" w:hAnsi="宋体" w:cs="宋体"/>
          <w:b/>
          <w:bCs/>
          <w:sz w:val="15"/>
          <w:szCs w:val="15"/>
        </w:rPr>
        <w:t>实物资本维护概念</w:t>
      </w:r>
      <w:r>
        <w:rPr>
          <w:rFonts w:hint="eastAsia" w:ascii="宋体" w:hAnsi="宋体" w:cs="宋体"/>
          <w:sz w:val="15"/>
          <w:szCs w:val="15"/>
        </w:rPr>
        <w:t>是指维护企业资本所拥有的生产经营能力的规模。所需维护的资本数额需要用表现其生产能力具体实物数量的价值量表示，即以企业所拥有生产经营能力具体实物的现时价格表示。</w:t>
      </w:r>
    </w:p>
    <w:p>
      <w:pPr>
        <w:autoSpaceDN w:val="0"/>
        <w:spacing w:line="160" w:lineRule="exact"/>
        <w:rPr>
          <w:rFonts w:ascii="宋体" w:cs="宋体"/>
          <w:sz w:val="15"/>
          <w:szCs w:val="15"/>
        </w:rPr>
      </w:pPr>
      <w:r>
        <w:rPr>
          <w:rFonts w:hint="eastAsia" w:ascii="宋体" w:hAnsi="宋体" w:cs="宋体"/>
          <w:b/>
          <w:sz w:val="15"/>
          <w:szCs w:val="15"/>
        </w:rPr>
        <w:t>会计收益和经济收益</w:t>
      </w:r>
      <w:r>
        <w:rPr>
          <w:rFonts w:ascii="宋体" w:hAnsi="宋体" w:cs="宋体"/>
          <w:sz w:val="15"/>
          <w:szCs w:val="15"/>
        </w:rPr>
        <w:t xml:space="preserve"> </w:t>
      </w:r>
      <w:r>
        <w:rPr>
          <w:rFonts w:hint="eastAsia" w:ascii="宋体" w:hAnsi="宋体" w:cs="宋体"/>
          <w:sz w:val="15"/>
          <w:szCs w:val="15"/>
        </w:rPr>
        <w:t>经济收益是以所耗实物资本得到回收为计量基础计算确定的收益，它要求对经营过程中发生的耗费以所耗实物资本的现时成本计量和回收。</w:t>
      </w:r>
    </w:p>
    <w:p>
      <w:pPr>
        <w:autoSpaceDN w:val="0"/>
        <w:spacing w:line="160" w:lineRule="exact"/>
        <w:rPr>
          <w:rFonts w:ascii="宋体" w:cs="宋体"/>
          <w:sz w:val="15"/>
          <w:szCs w:val="15"/>
        </w:rPr>
      </w:pPr>
      <w:r>
        <w:rPr>
          <w:rFonts w:hint="eastAsia" w:ascii="宋体" w:hAnsi="宋体" w:cs="宋体"/>
          <w:b/>
          <w:sz w:val="15"/>
          <w:szCs w:val="15"/>
        </w:rPr>
        <w:t>营业收益和持有资产收益：</w:t>
      </w:r>
      <w:r>
        <w:rPr>
          <w:rFonts w:hint="eastAsia" w:ascii="宋体" w:hAnsi="宋体" w:cs="宋体"/>
          <w:sz w:val="15"/>
          <w:szCs w:val="15"/>
        </w:rPr>
        <w:t>是由企业在本期经营过程中销售产</w:t>
      </w:r>
      <w:r>
        <w:rPr>
          <w:rFonts w:ascii="宋体" w:hAnsi="宋体" w:cs="宋体"/>
          <w:sz w:val="15"/>
          <w:szCs w:val="15"/>
        </w:rPr>
        <w:t>(</w:t>
      </w:r>
      <w:r>
        <w:rPr>
          <w:rFonts w:hint="eastAsia" w:ascii="宋体" w:hAnsi="宋体" w:cs="宋体"/>
          <w:sz w:val="15"/>
          <w:szCs w:val="15"/>
        </w:rPr>
        <w:t>商</w:t>
      </w:r>
      <w:r>
        <w:rPr>
          <w:rFonts w:ascii="宋体" w:hAnsi="宋体" w:cs="宋体"/>
          <w:sz w:val="15"/>
          <w:szCs w:val="15"/>
        </w:rPr>
        <w:t>)</w:t>
      </w:r>
      <w:r>
        <w:rPr>
          <w:rFonts w:hint="eastAsia" w:ascii="宋体" w:hAnsi="宋体" w:cs="宋体"/>
          <w:sz w:val="15"/>
          <w:szCs w:val="15"/>
        </w:rPr>
        <w:t>品或提供劳务而发生的各项收入和本期成本费用支出相抵后，使企业资产净额的增加。</w:t>
      </w:r>
      <w:r>
        <w:rPr>
          <w:rFonts w:ascii="宋体" w:hAnsi="宋体" w:cs="宋体"/>
          <w:sz w:val="15"/>
          <w:szCs w:val="15"/>
        </w:rPr>
        <w:t xml:space="preserve"> </w:t>
      </w:r>
    </w:p>
    <w:p>
      <w:pPr>
        <w:autoSpaceDN w:val="0"/>
        <w:spacing w:line="160" w:lineRule="exact"/>
        <w:rPr>
          <w:rFonts w:ascii="宋体" w:cs="宋体"/>
          <w:sz w:val="15"/>
          <w:szCs w:val="15"/>
        </w:rPr>
      </w:pPr>
      <w:r>
        <w:rPr>
          <w:rFonts w:hint="eastAsia" w:ascii="宋体" w:hAnsi="宋体" w:cs="宋体"/>
          <w:b/>
          <w:bCs/>
          <w:sz w:val="15"/>
          <w:szCs w:val="15"/>
        </w:rPr>
        <w:t>一般物价水平会计的特征：</w:t>
      </w:r>
      <w:r>
        <w:rPr>
          <w:rFonts w:hint="eastAsia" w:ascii="宋体" w:hAnsi="宋体" w:cs="宋体"/>
          <w:sz w:val="15"/>
          <w:szCs w:val="15"/>
        </w:rPr>
        <w:t>期末名义货币为内等值货币作计价单位以历史本和一般物价水平变动为计价基础的各项会计指标用以编制一般物价水平会计报表作为传统财务会计报表的补充资料反映和消除一般物价水平变动对传统财务会计信息影响的一种同伙膨胀会计模式一般购买力会计、现时购买力会计。</w:t>
      </w:r>
    </w:p>
    <w:p>
      <w:pPr>
        <w:autoSpaceDN w:val="0"/>
        <w:spacing w:line="160" w:lineRule="exact"/>
        <w:rPr>
          <w:rFonts w:ascii="宋体" w:cs="宋体"/>
          <w:sz w:val="15"/>
          <w:szCs w:val="15"/>
        </w:rPr>
      </w:pPr>
      <w:r>
        <w:rPr>
          <w:rFonts w:hint="eastAsia" w:ascii="宋体" w:hAnsi="宋体" w:cs="宋体"/>
          <w:b/>
          <w:bCs/>
          <w:sz w:val="15"/>
          <w:szCs w:val="15"/>
        </w:rPr>
        <w:t>一般物价水平会计的作用：</w:t>
      </w:r>
      <w:r>
        <w:rPr>
          <w:rFonts w:hint="eastAsia" w:ascii="宋体" w:hAnsi="宋体" w:cs="宋体"/>
          <w:sz w:val="15"/>
          <w:szCs w:val="15"/>
        </w:rPr>
        <w:t>作为严重通货膨胀条件下进行企业经济管理重要工具的一边物价说平会计，具有以下重要作用，反应和消除一般物价水平变动对传统财务会计信息的影响、保证会计数据的可比性、为报表使用者提供更为有用的信息。</w:t>
      </w:r>
    </w:p>
    <w:p>
      <w:pPr>
        <w:autoSpaceDN w:val="0"/>
        <w:spacing w:line="160" w:lineRule="exact"/>
        <w:rPr>
          <w:rFonts w:ascii="宋体" w:cs="宋体"/>
          <w:sz w:val="15"/>
          <w:szCs w:val="15"/>
        </w:rPr>
      </w:pPr>
      <w:r>
        <w:rPr>
          <w:rFonts w:hint="eastAsia" w:ascii="宋体" w:hAnsi="宋体" w:cs="宋体"/>
          <w:b/>
          <w:bCs/>
          <w:sz w:val="15"/>
          <w:szCs w:val="15"/>
        </w:rPr>
        <w:t>货币性项目</w:t>
      </w:r>
      <w:r>
        <w:rPr>
          <w:rFonts w:hint="eastAsia" w:ascii="宋体" w:hAnsi="宋体" w:cs="宋体"/>
          <w:sz w:val="15"/>
          <w:szCs w:val="15"/>
        </w:rPr>
        <w:t>是指企业持有的货币资金和将以固定或可确定的金额收取的资产或偿付的负责。</w:t>
      </w:r>
    </w:p>
    <w:p>
      <w:pPr>
        <w:autoSpaceDN w:val="0"/>
        <w:spacing w:line="160" w:lineRule="exact"/>
        <w:rPr>
          <w:rFonts w:ascii="宋体" w:cs="宋体"/>
          <w:sz w:val="15"/>
          <w:szCs w:val="15"/>
        </w:rPr>
      </w:pPr>
      <w:r>
        <w:rPr>
          <w:rFonts w:hint="eastAsia" w:ascii="宋体" w:hAnsi="宋体" w:cs="宋体"/>
          <w:b/>
          <w:bCs/>
          <w:sz w:val="15"/>
          <w:szCs w:val="15"/>
        </w:rPr>
        <w:t>货币性项目按性质可分为</w:t>
      </w:r>
      <w:r>
        <w:rPr>
          <w:rFonts w:hint="eastAsia" w:ascii="宋体" w:hAnsi="宋体" w:cs="宋体"/>
          <w:sz w:val="15"/>
          <w:szCs w:val="15"/>
        </w:rPr>
        <w:t>：货币性资产项目货币性负责项目和货币性权益，</w:t>
      </w:r>
    </w:p>
    <w:p>
      <w:pPr>
        <w:autoSpaceDN w:val="0"/>
        <w:spacing w:line="160" w:lineRule="exact"/>
        <w:rPr>
          <w:rFonts w:ascii="宋体" w:cs="宋体"/>
          <w:sz w:val="15"/>
          <w:szCs w:val="15"/>
        </w:rPr>
      </w:pPr>
      <w:r>
        <w:rPr>
          <w:rFonts w:hint="eastAsia" w:ascii="宋体" w:hAnsi="宋体" w:cs="宋体"/>
          <w:b/>
          <w:bCs/>
          <w:sz w:val="15"/>
          <w:szCs w:val="15"/>
        </w:rPr>
        <w:t>货币性资产项目</w:t>
      </w:r>
      <w:r>
        <w:rPr>
          <w:rFonts w:hint="eastAsia" w:ascii="宋体" w:hAnsi="宋体" w:cs="宋体"/>
          <w:sz w:val="15"/>
          <w:szCs w:val="15"/>
        </w:rPr>
        <w:t>主要有仅以货币直接反映的各种货币资金按合同规定净额收回的各种应收款项，按面值和固定利率到期回本利或定期收取利息的各种票据，以及收取固定利息或股利的各类证劵投资等。</w:t>
      </w:r>
    </w:p>
    <w:p>
      <w:pPr>
        <w:autoSpaceDN w:val="0"/>
        <w:spacing w:line="160" w:lineRule="exact"/>
        <w:rPr>
          <w:rFonts w:ascii="宋体" w:cs="宋体"/>
          <w:sz w:val="15"/>
          <w:szCs w:val="15"/>
        </w:rPr>
      </w:pPr>
      <w:r>
        <w:rPr>
          <w:rFonts w:hint="eastAsia" w:ascii="宋体" w:hAnsi="宋体" w:cs="宋体"/>
          <w:b/>
          <w:bCs/>
          <w:sz w:val="15"/>
          <w:szCs w:val="15"/>
        </w:rPr>
        <w:t>货币性负责项目</w:t>
      </w:r>
      <w:r>
        <w:rPr>
          <w:rFonts w:hint="eastAsia" w:ascii="宋体" w:hAnsi="宋体" w:cs="宋体"/>
          <w:sz w:val="15"/>
          <w:szCs w:val="15"/>
        </w:rPr>
        <w:t>主要是按固定金额支付的各种票据，以及各项长期或短期借款等。</w:t>
      </w:r>
    </w:p>
    <w:p>
      <w:pPr>
        <w:autoSpaceDN w:val="0"/>
        <w:spacing w:line="160" w:lineRule="exact"/>
        <w:rPr>
          <w:rFonts w:ascii="宋体" w:cs="宋体"/>
          <w:sz w:val="15"/>
          <w:szCs w:val="15"/>
        </w:rPr>
      </w:pPr>
      <w:r>
        <w:rPr>
          <w:rFonts w:hint="eastAsia" w:ascii="宋体" w:hAnsi="宋体" w:cs="宋体"/>
          <w:b/>
          <w:bCs/>
          <w:sz w:val="15"/>
          <w:szCs w:val="15"/>
        </w:rPr>
        <w:t>货币性权益项目</w:t>
      </w:r>
      <w:r>
        <w:rPr>
          <w:rFonts w:hint="eastAsia" w:ascii="宋体" w:hAnsi="宋体" w:cs="宋体"/>
          <w:sz w:val="15"/>
          <w:szCs w:val="15"/>
        </w:rPr>
        <w:t>主要有收取固定红利的优先股和企业停业清理时对剩余资产有固定求偿权的优先股。</w:t>
      </w:r>
    </w:p>
    <w:p>
      <w:pPr>
        <w:autoSpaceDN w:val="0"/>
        <w:spacing w:line="160" w:lineRule="exact"/>
        <w:rPr>
          <w:rFonts w:ascii="宋体" w:cs="宋体"/>
          <w:sz w:val="15"/>
          <w:szCs w:val="15"/>
        </w:rPr>
      </w:pPr>
      <w:r>
        <w:rPr>
          <w:rFonts w:hint="eastAsia" w:ascii="宋体" w:hAnsi="宋体" w:cs="宋体"/>
          <w:b/>
          <w:bCs/>
          <w:sz w:val="15"/>
          <w:szCs w:val="15"/>
        </w:rPr>
        <w:t>货币性项目的特点：</w:t>
      </w:r>
      <w:r>
        <w:rPr>
          <w:rFonts w:hint="eastAsia" w:ascii="宋体" w:hAnsi="宋体" w:cs="宋体"/>
          <w:sz w:val="15"/>
          <w:szCs w:val="15"/>
        </w:rPr>
        <w:t>当以期末名义货币作为等值货币对该项期未金额按一般物价水平变动进行换算时，其换算结果的金额固定不变，在一边物价水平变动中所持货币性项目的实际购买力发生变化并产生购买力损益。</w:t>
      </w:r>
    </w:p>
    <w:p>
      <w:pPr>
        <w:autoSpaceDN w:val="0"/>
        <w:spacing w:line="160" w:lineRule="exact"/>
        <w:rPr>
          <w:rFonts w:ascii="宋体" w:cs="宋体"/>
          <w:sz w:val="15"/>
          <w:szCs w:val="15"/>
        </w:rPr>
      </w:pPr>
      <w:r>
        <w:rPr>
          <w:rFonts w:hint="eastAsia" w:ascii="宋体" w:hAnsi="宋体" w:cs="宋体"/>
          <w:b/>
          <w:bCs/>
          <w:sz w:val="15"/>
          <w:szCs w:val="15"/>
        </w:rPr>
        <w:t>非货币性项目</w:t>
      </w:r>
      <w:r>
        <w:rPr>
          <w:rFonts w:hint="eastAsia" w:ascii="宋体" w:hAnsi="宋体" w:cs="宋体"/>
          <w:sz w:val="15"/>
          <w:szCs w:val="15"/>
        </w:rPr>
        <w:t>是指资产负债表中货币性项目以外的项目，即那些不具有货币性质不仅以货币计量，同时还经过其他计量单位（如食物单位、时间单位）计量的资产负债和权益项目。</w:t>
      </w:r>
    </w:p>
    <w:p>
      <w:pPr>
        <w:autoSpaceDN w:val="0"/>
        <w:spacing w:line="160" w:lineRule="exact"/>
        <w:rPr>
          <w:rFonts w:ascii="宋体" w:cs="宋体"/>
          <w:sz w:val="15"/>
          <w:szCs w:val="15"/>
        </w:rPr>
      </w:pPr>
      <w:r>
        <w:rPr>
          <w:rFonts w:hint="eastAsia" w:ascii="宋体" w:hAnsi="宋体" w:cs="宋体"/>
          <w:b/>
          <w:bCs/>
          <w:sz w:val="15"/>
          <w:szCs w:val="15"/>
        </w:rPr>
        <w:t>非货币性资产的类别</w:t>
      </w:r>
      <w:r>
        <w:rPr>
          <w:rFonts w:hint="eastAsia" w:ascii="宋体" w:hAnsi="宋体" w:cs="宋体"/>
          <w:sz w:val="15"/>
          <w:szCs w:val="15"/>
        </w:rPr>
        <w:t>为非货币性资产项目、非货币性负债项目和非货币性权益。</w:t>
      </w:r>
    </w:p>
    <w:p>
      <w:pPr>
        <w:autoSpaceDN w:val="0"/>
        <w:spacing w:line="160" w:lineRule="exact"/>
        <w:rPr>
          <w:rFonts w:ascii="宋体" w:cs="宋体"/>
          <w:sz w:val="15"/>
          <w:szCs w:val="15"/>
        </w:rPr>
      </w:pPr>
      <w:r>
        <w:rPr>
          <w:rFonts w:hint="eastAsia" w:ascii="宋体" w:hAnsi="宋体" w:cs="宋体"/>
          <w:b/>
          <w:bCs/>
          <w:sz w:val="15"/>
          <w:szCs w:val="15"/>
        </w:rPr>
        <w:t>非货币性资产项目</w:t>
      </w:r>
      <w:r>
        <w:rPr>
          <w:rFonts w:hint="eastAsia" w:ascii="宋体" w:hAnsi="宋体" w:cs="宋体"/>
          <w:sz w:val="15"/>
          <w:szCs w:val="15"/>
        </w:rPr>
        <w:t>有存货按非固定金额结算的预付货款，按合同规定收取商品或劳务的应收款项，固定资产以及无形资产</w:t>
      </w:r>
    </w:p>
    <w:p>
      <w:pPr>
        <w:autoSpaceDN w:val="0"/>
        <w:spacing w:line="160" w:lineRule="exact"/>
        <w:rPr>
          <w:rFonts w:ascii="宋体" w:cs="宋体"/>
          <w:sz w:val="15"/>
          <w:szCs w:val="15"/>
        </w:rPr>
      </w:pPr>
      <w:r>
        <w:rPr>
          <w:rFonts w:hint="eastAsia" w:ascii="宋体" w:hAnsi="宋体" w:cs="宋体"/>
          <w:b/>
          <w:bCs/>
          <w:sz w:val="15"/>
          <w:szCs w:val="15"/>
        </w:rPr>
        <w:t>非货币性负债项目</w:t>
      </w:r>
      <w:r>
        <w:rPr>
          <w:rFonts w:hint="eastAsia" w:ascii="宋体" w:hAnsi="宋体" w:cs="宋体"/>
          <w:sz w:val="15"/>
          <w:szCs w:val="15"/>
        </w:rPr>
        <w:t>按合同规定以商品或劳务偿还的应付账款</w:t>
      </w:r>
    </w:p>
    <w:p>
      <w:pPr>
        <w:autoSpaceDN w:val="0"/>
        <w:spacing w:line="160" w:lineRule="exact"/>
        <w:rPr>
          <w:rFonts w:ascii="宋体" w:cs="宋体"/>
          <w:sz w:val="15"/>
          <w:szCs w:val="15"/>
        </w:rPr>
      </w:pPr>
      <w:r>
        <w:pict>
          <v:shape id="文本框 11" o:spid="_x0000_s1026" o:spt="202" type="#_x0000_t202" style="position:absolute;left:0pt;margin-left:-7.75pt;margin-top:15.15pt;height:36pt;width:195.75pt;z-index:251658240;mso-width-relative:page;mso-height-relative:page;" filled="f" o:preferrelative="t" stroked="f" coordsize="21600,21600">
            <v:path/>
            <v:fill on="f" focussize="0,0"/>
            <v:stroke on="f" joinstyle="miter"/>
            <v:imagedata o:title=""/>
            <o:lock v:ext="edit"/>
            <v:textbox>
              <w:txbxContent>
                <w:p>
                  <w:r>
                    <w:pict>
                      <v:shape id="_x0000_i1025" o:spt="75" type="#_x0000_t75" style="height:27pt;width:184.1pt;" filled="f" o:preferrelative="t" stroked="f" coordsize="21600,21600">
                        <v:path/>
                        <v:fill on="f" focussize="0,0"/>
                        <v:stroke on="f" joinstyle="miter"/>
                        <v:imagedata r:id="rId10" o:title=""/>
                        <o:lock v:ext="edit" aspectratio="t"/>
                        <w10:wrap type="none"/>
                        <w10:anchorlock/>
                      </v:shape>
                    </w:pict>
                  </w:r>
                </w:p>
              </w:txbxContent>
            </v:textbox>
          </v:shape>
        </w:pict>
      </w:r>
      <w:r>
        <w:rPr>
          <w:rFonts w:hint="eastAsia" w:ascii="宋体" w:hAnsi="宋体" w:cs="宋体"/>
          <w:b/>
          <w:bCs/>
          <w:sz w:val="15"/>
          <w:szCs w:val="15"/>
        </w:rPr>
        <w:t>非货币性权益</w:t>
      </w:r>
      <w:r>
        <w:rPr>
          <w:rFonts w:hint="eastAsia" w:ascii="宋体" w:hAnsi="宋体" w:cs="宋体"/>
          <w:sz w:val="15"/>
          <w:szCs w:val="15"/>
        </w:rPr>
        <w:t>普通股、参与分红的优先股和可兑回优先股等非货币性项目会计数据的换算调整公式</w:t>
      </w:r>
    </w:p>
    <w:p>
      <w:pPr>
        <w:autoSpaceDN w:val="0"/>
        <w:spacing w:line="160" w:lineRule="exact"/>
        <w:rPr>
          <w:rFonts w:ascii="宋体" w:cs="宋体"/>
          <w:sz w:val="15"/>
          <w:szCs w:val="15"/>
        </w:rPr>
      </w:pPr>
    </w:p>
    <w:p>
      <w:pPr>
        <w:autoSpaceDN w:val="0"/>
        <w:spacing w:line="160" w:lineRule="exact"/>
        <w:rPr>
          <w:rFonts w:ascii="宋体" w:cs="宋体"/>
          <w:sz w:val="15"/>
          <w:szCs w:val="15"/>
        </w:rPr>
      </w:pPr>
    </w:p>
    <w:p>
      <w:pPr>
        <w:autoSpaceDN w:val="0"/>
        <w:spacing w:line="160" w:lineRule="exact"/>
        <w:rPr>
          <w:rFonts w:ascii="宋体" w:cs="宋体"/>
          <w:sz w:val="15"/>
          <w:szCs w:val="15"/>
        </w:rPr>
      </w:pPr>
    </w:p>
    <w:p>
      <w:pPr>
        <w:autoSpaceDN w:val="0"/>
        <w:spacing w:line="160" w:lineRule="exact"/>
        <w:rPr>
          <w:rFonts w:ascii="宋体" w:cs="宋体"/>
          <w:sz w:val="15"/>
          <w:szCs w:val="15"/>
        </w:rPr>
      </w:pPr>
    </w:p>
    <w:p>
      <w:pPr>
        <w:autoSpaceDN w:val="0"/>
        <w:spacing w:line="160" w:lineRule="exact"/>
        <w:rPr>
          <w:rFonts w:ascii="宋体" w:cs="宋体"/>
          <w:sz w:val="15"/>
          <w:szCs w:val="15"/>
        </w:rPr>
      </w:pPr>
      <w:r>
        <w:rPr>
          <w:rFonts w:hint="eastAsia" w:ascii="宋体" w:hAnsi="宋体" w:cs="宋体"/>
          <w:sz w:val="15"/>
          <w:szCs w:val="15"/>
        </w:rPr>
        <w:t>当期一般物价指数是确定为等值货币的名义货币的时点或时期的一般物价指数，当以本期期末名义货币为等值货币时，则应以该报表期期末的一般物价指数为当期一般物价指数。基期一般物价指数是指某换算项目的会计数据取得或形成时的一般物价指数，基期一般物价未分配利润项目数据的换算调整公式</w:t>
      </w:r>
    </w:p>
    <w:p>
      <w:pPr>
        <w:autoSpaceDN w:val="0"/>
        <w:spacing w:line="160" w:lineRule="exact"/>
        <w:rPr>
          <w:rFonts w:ascii="宋体" w:cs="宋体"/>
          <w:sz w:val="15"/>
          <w:szCs w:val="15"/>
        </w:rPr>
      </w:pPr>
    </w:p>
    <w:p>
      <w:pPr>
        <w:autoSpaceDN w:val="0"/>
        <w:spacing w:line="160" w:lineRule="exact"/>
        <w:rPr>
          <w:rFonts w:ascii="宋体" w:cs="宋体"/>
          <w:sz w:val="15"/>
          <w:szCs w:val="15"/>
        </w:rPr>
      </w:pPr>
      <w:r>
        <w:rPr>
          <w:rFonts w:hint="eastAsia" w:ascii="宋体" w:hAnsi="宋体" w:cs="宋体"/>
          <w:sz w:val="15"/>
          <w:szCs w:val="15"/>
        </w:rPr>
        <w:t>货币性项目会计数据的换算调整</w:t>
      </w:r>
    </w:p>
    <w:p>
      <w:pPr>
        <w:autoSpaceDN w:val="0"/>
        <w:spacing w:line="160" w:lineRule="exact"/>
        <w:rPr>
          <w:rFonts w:ascii="宋体" w:cs="宋体"/>
          <w:sz w:val="15"/>
          <w:szCs w:val="15"/>
        </w:rPr>
      </w:pPr>
    </w:p>
    <w:p>
      <w:pPr>
        <w:autoSpaceDN w:val="0"/>
        <w:spacing w:line="160" w:lineRule="exact"/>
        <w:jc w:val="center"/>
        <w:rPr>
          <w:rFonts w:ascii="宋体" w:cs="宋体"/>
          <w:sz w:val="15"/>
          <w:szCs w:val="15"/>
        </w:rPr>
      </w:pPr>
      <w:r>
        <w:rPr>
          <w:rFonts w:hint="eastAsia" w:ascii="宋体" w:hAnsi="宋体" w:cs="宋体"/>
          <w:sz w:val="15"/>
          <w:szCs w:val="15"/>
        </w:rPr>
        <w:t>期末应当持有的货币性项目净额是指以等值货币表示的报告期期初货币性项目净额加计本会计期间货币性收入引起的货币性项目增加额，减除本期货币性付出引起的货币性项目减少额的差额，即在本通货膨胀期间通过货币性项目增减变动后，最终应当持有的货币性项目净额的货币购买力数额。下公式期末应当持有的货币性项目净额</w:t>
      </w:r>
      <w:r>
        <w:rPr>
          <w:rFonts w:ascii="宋体" w:hAnsi="宋体" w:cs="宋体"/>
          <w:sz w:val="15"/>
          <w:szCs w:val="15"/>
        </w:rPr>
        <w:t xml:space="preserve">   </w:t>
      </w:r>
    </w:p>
    <w:p>
      <w:pPr>
        <w:autoSpaceDN w:val="0"/>
        <w:spacing w:line="160" w:lineRule="exact"/>
        <w:rPr>
          <w:rFonts w:ascii="宋体" w:cs="宋体"/>
          <w:sz w:val="15"/>
          <w:szCs w:val="15"/>
        </w:rPr>
      </w:pPr>
      <w:r>
        <w:rPr>
          <w:rFonts w:hint="eastAsia" w:ascii="宋体" w:hAnsi="宋体" w:cs="宋体"/>
          <w:sz w:val="15"/>
          <w:szCs w:val="15"/>
        </w:rPr>
        <w:t>一般物价水平会计资产负债表的格式与传统财务会计报表相同，只是其计价单位为等值货币在一定程度上反映和消除了通货膨胀对传统财务会计报表的影响，从而使所提供的会计信息更具现实性增强企业会计信息的可比性运用一般财务水平会计信息有利于加强企业的管理一般物价水平会计较为简便易行，所提供的会计信息也易于为社会各界接受，便于企业接受监督。</w:t>
      </w:r>
    </w:p>
    <w:p>
      <w:pPr>
        <w:autoSpaceDN w:val="0"/>
        <w:spacing w:line="160" w:lineRule="exact"/>
        <w:rPr>
          <w:rFonts w:ascii="宋体" w:cs="宋体"/>
          <w:sz w:val="15"/>
          <w:szCs w:val="15"/>
        </w:rPr>
      </w:pPr>
      <w:r>
        <w:rPr>
          <w:rFonts w:hint="eastAsia" w:ascii="宋体" w:hAnsi="宋体" w:cs="宋体"/>
          <w:sz w:val="15"/>
          <w:szCs w:val="15"/>
        </w:rPr>
        <w:t>一般物价水平会计的缺点；调整各项会计数据所依据的一般物价指数难免和一些企业的实际情况不符，因而在一定程度上影响调整后的会计数据的正确行，不能广泛满足与企业有经济利害关系者对会计信息的需要，在一定程度上影响成本效益原则的现实，不便于企业管理人员在期中及时了解通货膨胀对企业财务状况的影响。</w:t>
      </w:r>
    </w:p>
    <w:p>
      <w:pPr>
        <w:autoSpaceDN w:val="0"/>
        <w:spacing w:line="160" w:lineRule="exact"/>
        <w:rPr>
          <w:rFonts w:ascii="宋体" w:cs="宋体"/>
          <w:sz w:val="15"/>
          <w:szCs w:val="15"/>
        </w:rPr>
      </w:pPr>
      <w:r>
        <w:rPr>
          <w:rFonts w:hint="eastAsia" w:ascii="宋体" w:hAnsi="宋体" w:cs="宋体"/>
          <w:b/>
          <w:sz w:val="15"/>
          <w:szCs w:val="15"/>
        </w:rPr>
        <w:t>现实成本会计的特征：</w:t>
      </w:r>
      <w:r>
        <w:rPr>
          <w:rFonts w:hint="eastAsia" w:ascii="宋体" w:hAnsi="宋体" w:cs="宋体"/>
          <w:sz w:val="15"/>
          <w:szCs w:val="15"/>
        </w:rPr>
        <w:t>是以名义货币为计价单位，以资产的现实成本和个别物价水平变动为计价基础，提供企业的财务状况和经营成果，反映和消除通货膨胀条件下个别物价水平变动对传统财务会计信息影响的会计方法和程序。</w:t>
      </w:r>
    </w:p>
    <w:p>
      <w:pPr>
        <w:autoSpaceDN w:val="0"/>
        <w:spacing w:line="160" w:lineRule="exact"/>
        <w:rPr>
          <w:rFonts w:ascii="宋体" w:cs="宋体"/>
          <w:sz w:val="15"/>
          <w:szCs w:val="15"/>
        </w:rPr>
      </w:pPr>
      <w:r>
        <w:rPr>
          <w:rFonts w:hint="eastAsia" w:ascii="宋体" w:hAnsi="宋体" w:cs="宋体"/>
          <w:b/>
          <w:sz w:val="15"/>
          <w:szCs w:val="15"/>
        </w:rPr>
        <w:t>现实成本会计的特征：</w:t>
      </w:r>
      <w:r>
        <w:rPr>
          <w:rFonts w:hint="eastAsia" w:ascii="宋体" w:hAnsi="宋体" w:cs="宋体"/>
          <w:sz w:val="15"/>
          <w:szCs w:val="15"/>
        </w:rPr>
        <w:t>以名义货币作为计价单位，以资产的现实成本和个别物价水平变动为计价基准，建立现实成本会计账户体系或特有专门账户进行日常核算。</w:t>
      </w:r>
    </w:p>
    <w:p>
      <w:pPr>
        <w:autoSpaceDN w:val="0"/>
        <w:spacing w:line="160" w:lineRule="exact"/>
        <w:rPr>
          <w:rFonts w:ascii="宋体" w:cs="宋体"/>
          <w:sz w:val="15"/>
          <w:szCs w:val="15"/>
        </w:rPr>
      </w:pPr>
      <w:r>
        <w:rPr>
          <w:rFonts w:hint="eastAsia" w:ascii="宋体" w:hAnsi="宋体" w:cs="宋体"/>
          <w:b/>
          <w:sz w:val="15"/>
          <w:szCs w:val="15"/>
        </w:rPr>
        <w:t>简述现实成本会计的作用：</w:t>
      </w:r>
      <w:r>
        <w:rPr>
          <w:rFonts w:hint="eastAsia" w:ascii="宋体" w:hAnsi="宋体" w:cs="宋体"/>
          <w:sz w:val="15"/>
          <w:szCs w:val="15"/>
        </w:rPr>
        <w:t>可以提供更加切合实际的会计信息，有利于企业的资本维护，有利于正确评价企业的经营成果，改进企业管理。</w:t>
      </w:r>
    </w:p>
    <w:p>
      <w:pPr>
        <w:autoSpaceDN w:val="0"/>
        <w:spacing w:line="160" w:lineRule="exact"/>
        <w:rPr>
          <w:rFonts w:ascii="宋体" w:cs="宋体"/>
          <w:sz w:val="15"/>
          <w:szCs w:val="15"/>
        </w:rPr>
      </w:pPr>
      <w:r>
        <w:rPr>
          <w:rFonts w:hint="eastAsia" w:ascii="宋体" w:hAnsi="宋体" w:cs="宋体"/>
          <w:sz w:val="15"/>
          <w:szCs w:val="15"/>
        </w:rPr>
        <w:t>现实成本会计一般按以下程序进行：确定和反映企业各项资产的现实成本，计算企业的持有资产损益，以本期现实收入和所耗资产的现实成本计算企业的现实成本收益，编制现实成本会计报表。</w:t>
      </w:r>
    </w:p>
    <w:p>
      <w:pPr>
        <w:autoSpaceDN w:val="0"/>
        <w:spacing w:line="160" w:lineRule="exact"/>
        <w:rPr>
          <w:rFonts w:ascii="宋体" w:cs="宋体"/>
          <w:sz w:val="15"/>
          <w:szCs w:val="15"/>
        </w:rPr>
      </w:pPr>
      <w:r>
        <w:rPr>
          <w:rFonts w:hint="eastAsia" w:ascii="宋体" w:hAnsi="宋体" w:cs="宋体"/>
          <w:sz w:val="15"/>
          <w:szCs w:val="15"/>
        </w:rPr>
        <w:t>现实成本会计的日常核算方法：建立现实成本会计账户体系，设置现实成本会计的持有账户。</w:t>
      </w:r>
    </w:p>
    <w:p>
      <w:pPr>
        <w:autoSpaceDN w:val="0"/>
        <w:spacing w:line="160" w:lineRule="exact"/>
        <w:rPr>
          <w:rFonts w:ascii="宋体" w:cs="宋体"/>
          <w:sz w:val="15"/>
          <w:szCs w:val="15"/>
        </w:rPr>
      </w:pPr>
      <w:r>
        <w:rPr>
          <w:rFonts w:hint="eastAsia" w:ascii="宋体" w:hAnsi="宋体" w:cs="宋体"/>
          <w:sz w:val="15"/>
          <w:szCs w:val="15"/>
        </w:rPr>
        <w:t>资产类经济业务事项按现时成本的核算</w:t>
      </w:r>
    </w:p>
    <w:p>
      <w:pPr>
        <w:autoSpaceDN w:val="0"/>
        <w:spacing w:line="160" w:lineRule="exact"/>
        <w:rPr>
          <w:rFonts w:ascii="宋体" w:cs="宋体"/>
          <w:sz w:val="15"/>
          <w:szCs w:val="15"/>
        </w:rPr>
      </w:pPr>
      <w:r>
        <w:rPr>
          <w:rFonts w:hint="eastAsia" w:ascii="宋体" w:hAnsi="宋体" w:cs="宋体"/>
          <w:sz w:val="15"/>
          <w:szCs w:val="15"/>
        </w:rPr>
        <w:t>现实成本会计利润及其分配表编制</w:t>
      </w:r>
    </w:p>
    <w:p>
      <w:pPr>
        <w:autoSpaceDN w:val="0"/>
        <w:spacing w:line="160" w:lineRule="exact"/>
        <w:rPr>
          <w:rFonts w:ascii="宋体" w:cs="宋体"/>
          <w:sz w:val="15"/>
          <w:szCs w:val="15"/>
        </w:rPr>
      </w:pPr>
      <w:r>
        <w:rPr>
          <w:rFonts w:hint="eastAsia" w:ascii="宋体" w:hAnsi="宋体" w:cs="宋体"/>
          <w:b/>
          <w:sz w:val="15"/>
          <w:szCs w:val="15"/>
        </w:rPr>
        <w:t>现实成本会计的定期核算方法：</w:t>
      </w:r>
      <w:r>
        <w:rPr>
          <w:rFonts w:hint="eastAsia" w:ascii="宋体" w:hAnsi="宋体" w:cs="宋体"/>
          <w:sz w:val="15"/>
          <w:szCs w:val="15"/>
        </w:rPr>
        <w:t>现实成本会计资产负债表的编制，</w:t>
      </w:r>
    </w:p>
    <w:p>
      <w:pPr>
        <w:autoSpaceDN w:val="0"/>
        <w:spacing w:line="160" w:lineRule="exact"/>
        <w:rPr>
          <w:rFonts w:ascii="宋体" w:cs="宋体"/>
          <w:sz w:val="15"/>
          <w:szCs w:val="15"/>
        </w:rPr>
      </w:pPr>
      <w:r>
        <w:rPr>
          <w:rFonts w:hint="eastAsia" w:ascii="宋体" w:hAnsi="宋体" w:cs="宋体"/>
          <w:b/>
          <w:sz w:val="15"/>
          <w:szCs w:val="15"/>
        </w:rPr>
        <w:t>简述现实成本会计的有点：</w:t>
      </w:r>
      <w:r>
        <w:rPr>
          <w:rFonts w:hint="eastAsia" w:ascii="宋体" w:hAnsi="宋体" w:cs="宋体"/>
          <w:sz w:val="15"/>
          <w:szCs w:val="15"/>
        </w:rPr>
        <w:t>可以为经营和投资决策提供更为有用的会计信息，有利于全面考核和评价企业管理人员的经营业绩，促进企业金鹰管理的改进，有利于企业受益的合理分配，可以更有效地维护业主权益和企业的生产经营能力，在一定程度上，简化了付出存货成本的核算。</w:t>
      </w:r>
    </w:p>
    <w:p>
      <w:pPr>
        <w:autoSpaceDN w:val="0"/>
        <w:spacing w:line="160" w:lineRule="exact"/>
        <w:rPr>
          <w:rFonts w:ascii="宋体" w:cs="宋体"/>
          <w:sz w:val="15"/>
          <w:szCs w:val="15"/>
        </w:rPr>
      </w:pPr>
      <w:r>
        <w:rPr>
          <w:rFonts w:hint="eastAsia" w:ascii="宋体" w:hAnsi="宋体" w:cs="宋体"/>
          <w:b/>
          <w:sz w:val="15"/>
          <w:szCs w:val="15"/>
        </w:rPr>
        <w:t>简述现时成本会计的缺点：</w:t>
      </w:r>
      <w:r>
        <w:rPr>
          <w:rFonts w:hint="eastAsia" w:ascii="宋体" w:hAnsi="宋体" w:cs="宋体"/>
          <w:sz w:val="15"/>
          <w:szCs w:val="15"/>
        </w:rPr>
        <w:t>资产计价的主观性较强，难于防止一些企业管理人员蓄意篡改会计数据，影响会计信息质量，不按一般物价水平调整会计数据，使不同时期的跨级啊数据缺乏一定的可比性。不计列一般物价水平变动产生的购买力损益，使一部分通货膨胀因素的影响未予反映和消除。设置两套快加账薄或另设一些专门账户，加大了核算费用。在实际应用和管理上还存在一定的困难。</w:t>
      </w:r>
    </w:p>
    <w:p>
      <w:pPr>
        <w:autoSpaceDN w:val="0"/>
        <w:spacing w:line="160" w:lineRule="exact"/>
        <w:rPr>
          <w:rFonts w:ascii="宋体" w:cs="宋体"/>
          <w:sz w:val="15"/>
          <w:szCs w:val="15"/>
        </w:rPr>
      </w:pPr>
      <w:r>
        <w:rPr>
          <w:rFonts w:hint="eastAsia" w:ascii="宋体" w:hAnsi="宋体" w:cs="宋体"/>
          <w:b/>
          <w:sz w:val="15"/>
          <w:szCs w:val="15"/>
        </w:rPr>
        <w:t>企业清算是指：</w:t>
      </w:r>
      <w:r>
        <w:rPr>
          <w:rFonts w:hint="eastAsia" w:ascii="宋体" w:hAnsi="宋体" w:cs="宋体"/>
          <w:sz w:val="15"/>
          <w:szCs w:val="15"/>
        </w:rPr>
        <w:t>企业按章程规定解散，以及由于破产或其他原因宣布终止经营后，对企业的财产、债权、债务进行全面清查，并进行收取债权、清偿债务和分配剩余财产的经营活动。</w:t>
      </w:r>
    </w:p>
    <w:p>
      <w:pPr>
        <w:autoSpaceDN w:val="0"/>
        <w:spacing w:line="160" w:lineRule="exact"/>
        <w:rPr>
          <w:rFonts w:ascii="宋体" w:cs="宋体"/>
          <w:sz w:val="15"/>
          <w:szCs w:val="15"/>
        </w:rPr>
      </w:pPr>
      <w:r>
        <w:rPr>
          <w:rFonts w:hint="eastAsia" w:ascii="宋体" w:hAnsi="宋体" w:cs="宋体"/>
          <w:b/>
          <w:sz w:val="15"/>
          <w:szCs w:val="15"/>
        </w:rPr>
        <w:t>导致企业清算的原因有以下几种：</w:t>
      </w:r>
      <w:r>
        <w:rPr>
          <w:rFonts w:hint="eastAsia" w:ascii="宋体" w:hAnsi="宋体" w:cs="宋体"/>
          <w:sz w:val="15"/>
          <w:szCs w:val="15"/>
        </w:rPr>
        <w:t>企业的经营期限届满，投资方无意继续经营；企业合并或者分立，需要解散；投资乙方或各方不履行协议，合同，章程规定的义务，致使企业无法继续经营；企业发生严重亏损，无力继续经营；企业因自然灾害、战争等不可抗拒因素遭受严重损失，无法继续经营；企业因违反国家法律，法规，危害社会公共利益，被依法撤销；企业被宣告破产；股份有限公司和有限责任公司的股东会议决定公司解散；法律、企业章程所规定的其他解散事由已经出现。</w:t>
      </w:r>
    </w:p>
    <w:p>
      <w:pPr>
        <w:autoSpaceDN w:val="0"/>
        <w:spacing w:line="160" w:lineRule="exact"/>
        <w:rPr>
          <w:rFonts w:ascii="宋体" w:cs="宋体"/>
          <w:sz w:val="15"/>
          <w:szCs w:val="15"/>
        </w:rPr>
      </w:pPr>
      <w:r>
        <w:rPr>
          <w:rFonts w:hint="eastAsia" w:ascii="宋体" w:hAnsi="宋体" w:cs="宋体"/>
          <w:b/>
          <w:sz w:val="15"/>
          <w:szCs w:val="15"/>
        </w:rPr>
        <w:t>企业清算分为</w:t>
      </w:r>
      <w:r>
        <w:rPr>
          <w:rFonts w:hint="eastAsia" w:ascii="宋体" w:hAnsi="宋体" w:cs="宋体"/>
          <w:sz w:val="15"/>
          <w:szCs w:val="15"/>
        </w:rPr>
        <w:t>：普通清算和破产清算两种</w:t>
      </w:r>
    </w:p>
    <w:p>
      <w:pPr>
        <w:autoSpaceDN w:val="0"/>
        <w:spacing w:line="160" w:lineRule="exact"/>
        <w:rPr>
          <w:rFonts w:ascii="宋体" w:cs="宋体"/>
          <w:sz w:val="15"/>
          <w:szCs w:val="15"/>
        </w:rPr>
      </w:pPr>
      <w:r>
        <w:rPr>
          <w:rFonts w:hint="eastAsia" w:ascii="宋体" w:hAnsi="宋体" w:cs="宋体"/>
          <w:sz w:val="15"/>
          <w:szCs w:val="15"/>
        </w:rPr>
        <w:t>普通清算：又称解散清算，是指对因经营期满或者其他经营方面的原因，导致不宜或不能继续经营而资源或者被迫解散的企业所进行的清算。非完全清算：又称产权转让清算，是指对因营业期满或其他原因，由合营一方将其所拥有的产权装让给另一方继续经营的解散企业所进行的清算。完全解散清算是指：对宣告解散并且各方都不再继续经营的企业所进行的清算。</w:t>
      </w:r>
    </w:p>
    <w:p>
      <w:pPr>
        <w:autoSpaceDN w:val="0"/>
        <w:spacing w:line="160" w:lineRule="exact"/>
        <w:rPr>
          <w:rFonts w:ascii="宋体" w:cs="宋体"/>
          <w:sz w:val="15"/>
          <w:szCs w:val="15"/>
        </w:rPr>
      </w:pPr>
      <w:r>
        <w:rPr>
          <w:rFonts w:hint="eastAsia" w:ascii="宋体" w:hAnsi="宋体" w:cs="宋体"/>
          <w:b/>
          <w:sz w:val="15"/>
          <w:szCs w:val="15"/>
        </w:rPr>
        <w:t>破产清算是指</w:t>
      </w:r>
      <w:r>
        <w:rPr>
          <w:rFonts w:hint="eastAsia" w:ascii="宋体" w:hAnsi="宋体" w:cs="宋体"/>
          <w:sz w:val="15"/>
          <w:szCs w:val="15"/>
        </w:rPr>
        <w:t>：对依法宣告破产的企业所进行的清算。</w:t>
      </w:r>
    </w:p>
    <w:p>
      <w:pPr>
        <w:autoSpaceDN w:val="0"/>
        <w:spacing w:line="160" w:lineRule="exact"/>
        <w:rPr>
          <w:rFonts w:ascii="宋体" w:cs="宋体"/>
          <w:b/>
          <w:sz w:val="15"/>
          <w:szCs w:val="15"/>
        </w:rPr>
      </w:pPr>
      <w:r>
        <w:rPr>
          <w:rFonts w:hint="eastAsia" w:ascii="宋体" w:hAnsi="宋体" w:cs="宋体"/>
          <w:b/>
          <w:sz w:val="15"/>
          <w:szCs w:val="15"/>
        </w:rPr>
        <w:t>清算会计是指</w:t>
      </w:r>
      <w:r>
        <w:rPr>
          <w:rFonts w:hint="eastAsia" w:ascii="宋体" w:hAnsi="宋体" w:cs="宋体"/>
          <w:sz w:val="15"/>
          <w:szCs w:val="15"/>
        </w:rPr>
        <w:t>：对被宣告解散企业各项清算业务进行反映和监督，想有关债权人、投资人及政府主管部门披露企业的财务状况，清算过程和结果等会计信息的一种专门会计。</w:t>
      </w:r>
    </w:p>
    <w:p>
      <w:pPr>
        <w:autoSpaceDN w:val="0"/>
        <w:spacing w:line="160" w:lineRule="exact"/>
        <w:rPr>
          <w:rFonts w:ascii="宋体" w:cs="宋体"/>
          <w:sz w:val="15"/>
          <w:szCs w:val="15"/>
        </w:rPr>
      </w:pPr>
      <w:r>
        <w:rPr>
          <w:rFonts w:hint="eastAsia" w:ascii="宋体" w:hAnsi="宋体" w:cs="宋体"/>
          <w:b/>
          <w:sz w:val="15"/>
          <w:szCs w:val="15"/>
        </w:rPr>
        <w:t>清算工作的内容主要包括</w:t>
      </w:r>
      <w:r>
        <w:rPr>
          <w:rFonts w:hint="eastAsia" w:ascii="宋体" w:hAnsi="宋体" w:cs="宋体"/>
          <w:sz w:val="15"/>
          <w:szCs w:val="15"/>
        </w:rPr>
        <w:t>：进行财产清查，编制清算开始日的资产债表；变价清算财产；核算和监督清算费用的支出；核算和监督债权的收回和摘取的偿还；核算和监督企业的清算净损益；核算进度剩余财产的分配；编制清算财务报表。</w:t>
      </w:r>
    </w:p>
    <w:p>
      <w:pPr>
        <w:autoSpaceDN w:val="0"/>
        <w:spacing w:line="160" w:lineRule="exact"/>
        <w:rPr>
          <w:rFonts w:ascii="宋体" w:cs="宋体"/>
          <w:sz w:val="15"/>
          <w:szCs w:val="15"/>
        </w:rPr>
      </w:pPr>
      <w:r>
        <w:rPr>
          <w:rFonts w:hint="eastAsia" w:ascii="宋体" w:hAnsi="宋体" w:cs="宋体"/>
          <w:sz w:val="15"/>
          <w:szCs w:val="15"/>
        </w:rPr>
        <w:t>对于货币资金以为的清算财产，变价处理方法通常有一下几种：</w:t>
      </w:r>
      <w:r>
        <w:rPr>
          <w:rFonts w:ascii="宋体" w:hAnsi="宋体" w:cs="宋体"/>
          <w:sz w:val="15"/>
          <w:szCs w:val="15"/>
        </w:rPr>
        <w:t>1</w:t>
      </w:r>
      <w:r>
        <w:rPr>
          <w:rFonts w:hint="eastAsia" w:ascii="宋体" w:hAnsi="宋体" w:cs="宋体"/>
          <w:sz w:val="15"/>
          <w:szCs w:val="15"/>
        </w:rPr>
        <w:t>，账面价值法：是指以财产的账面净值为标准对清算财产作价的一种方法。</w:t>
      </w:r>
      <w:r>
        <w:rPr>
          <w:rFonts w:ascii="宋体" w:hAnsi="宋体" w:cs="宋体"/>
          <w:sz w:val="15"/>
          <w:szCs w:val="15"/>
        </w:rPr>
        <w:t>,2</w:t>
      </w:r>
      <w:r>
        <w:rPr>
          <w:rFonts w:hint="eastAsia" w:ascii="宋体" w:hAnsi="宋体" w:cs="宋体"/>
          <w:sz w:val="15"/>
          <w:szCs w:val="15"/>
        </w:rPr>
        <w:t>，估量价值法，指以资产的现行市场价格为依据来对清算财产作价的一种方法。</w:t>
      </w:r>
      <w:r>
        <w:rPr>
          <w:rFonts w:ascii="宋体" w:hAnsi="宋体" w:cs="宋体"/>
          <w:sz w:val="15"/>
          <w:szCs w:val="15"/>
        </w:rPr>
        <w:t>3</w:t>
      </w:r>
      <w:r>
        <w:rPr>
          <w:rFonts w:hint="eastAsia" w:ascii="宋体" w:hAnsi="宋体" w:cs="宋体"/>
          <w:sz w:val="15"/>
          <w:szCs w:val="15"/>
        </w:rPr>
        <w:t>，变现收入法。</w:t>
      </w:r>
      <w:r>
        <w:rPr>
          <w:rFonts w:ascii="宋体" w:hAnsi="宋体" w:cs="宋体"/>
          <w:sz w:val="15"/>
          <w:szCs w:val="15"/>
        </w:rPr>
        <w:t>4</w:t>
      </w:r>
      <w:r>
        <w:rPr>
          <w:rFonts w:hint="eastAsia" w:ascii="宋体" w:hAnsi="宋体" w:cs="宋体"/>
          <w:sz w:val="15"/>
          <w:szCs w:val="15"/>
        </w:rPr>
        <w:t>，拍卖作价法。</w:t>
      </w:r>
      <w:r>
        <w:rPr>
          <w:rFonts w:ascii="宋体" w:hAnsi="宋体" w:cs="宋体"/>
          <w:sz w:val="15"/>
          <w:szCs w:val="15"/>
        </w:rPr>
        <w:t>5</w:t>
      </w:r>
      <w:r>
        <w:rPr>
          <w:rFonts w:hint="eastAsia" w:ascii="宋体" w:hAnsi="宋体" w:cs="宋体"/>
          <w:sz w:val="15"/>
          <w:szCs w:val="15"/>
        </w:rPr>
        <w:t>，收益现值法。</w:t>
      </w:r>
    </w:p>
    <w:p>
      <w:pPr>
        <w:autoSpaceDN w:val="0"/>
        <w:spacing w:line="160" w:lineRule="exact"/>
        <w:rPr>
          <w:rFonts w:ascii="宋体" w:cs="宋体"/>
          <w:sz w:val="15"/>
          <w:szCs w:val="15"/>
        </w:rPr>
      </w:pPr>
      <w:r>
        <w:rPr>
          <w:rFonts w:hint="eastAsia" w:ascii="宋体" w:hAnsi="宋体" w:cs="宋体"/>
          <w:sz w:val="15"/>
          <w:szCs w:val="15"/>
        </w:rPr>
        <w:t>核算和监督清算费用的支付：</w:t>
      </w:r>
      <w:r>
        <w:rPr>
          <w:rFonts w:ascii="宋体" w:hAnsi="宋体" w:cs="宋体"/>
          <w:sz w:val="15"/>
          <w:szCs w:val="15"/>
        </w:rPr>
        <w:t xml:space="preserve"> </w:t>
      </w:r>
      <w:r>
        <w:rPr>
          <w:rFonts w:hint="eastAsia" w:ascii="宋体" w:hAnsi="宋体" w:cs="宋体"/>
          <w:sz w:val="15"/>
          <w:szCs w:val="15"/>
        </w:rPr>
        <w:t>清算费用是指清算过程中所发生的各项费用支出。包括清算组人员工资、办公费、公告费、差旅费、诉讼费、审计费、公证费、财产估计费和变卖费等。</w:t>
      </w:r>
    </w:p>
    <w:p>
      <w:pPr>
        <w:autoSpaceDN w:val="0"/>
        <w:spacing w:line="160" w:lineRule="exact"/>
        <w:rPr>
          <w:rFonts w:ascii="宋体" w:cs="宋体"/>
          <w:sz w:val="15"/>
          <w:szCs w:val="15"/>
        </w:rPr>
      </w:pPr>
      <w:r>
        <w:rPr>
          <w:rFonts w:hint="eastAsia" w:ascii="宋体" w:hAnsi="宋体" w:cs="宋体"/>
          <w:sz w:val="15"/>
          <w:szCs w:val="15"/>
        </w:rPr>
        <w:t>核算和监督债权的收回和债务的偿还</w:t>
      </w:r>
    </w:p>
    <w:p>
      <w:pPr>
        <w:autoSpaceDN w:val="0"/>
        <w:spacing w:line="160" w:lineRule="exact"/>
        <w:rPr>
          <w:rFonts w:ascii="宋体" w:cs="宋体"/>
          <w:sz w:val="15"/>
          <w:szCs w:val="15"/>
        </w:rPr>
      </w:pPr>
      <w:r>
        <w:rPr>
          <w:rFonts w:hint="eastAsia" w:ascii="宋体" w:hAnsi="宋体" w:cs="宋体"/>
          <w:sz w:val="15"/>
          <w:szCs w:val="15"/>
        </w:rPr>
        <w:t>核算和监督企业的清算净损益：是企业清算过程中发生的清算收益同清算损失和清算费用相抵后的余额。</w:t>
      </w:r>
    </w:p>
    <w:p>
      <w:pPr>
        <w:autoSpaceDN w:val="0"/>
        <w:spacing w:line="160" w:lineRule="exact"/>
        <w:rPr>
          <w:rFonts w:ascii="宋体" w:cs="宋体"/>
          <w:sz w:val="15"/>
          <w:szCs w:val="15"/>
        </w:rPr>
      </w:pPr>
      <w:r>
        <w:rPr>
          <w:rFonts w:hint="eastAsia" w:ascii="宋体" w:hAnsi="宋体" w:cs="宋体"/>
          <w:sz w:val="15"/>
          <w:szCs w:val="15"/>
        </w:rPr>
        <w:t>核算和监督剩余财产分配</w:t>
      </w:r>
    </w:p>
    <w:p>
      <w:pPr>
        <w:autoSpaceDN w:val="0"/>
        <w:spacing w:line="160" w:lineRule="exact"/>
        <w:rPr>
          <w:rFonts w:ascii="宋体" w:cs="宋体"/>
          <w:sz w:val="15"/>
          <w:szCs w:val="15"/>
        </w:rPr>
      </w:pPr>
      <w:r>
        <w:rPr>
          <w:rFonts w:hint="eastAsia" w:ascii="宋体" w:hAnsi="宋体" w:cs="宋体"/>
          <w:sz w:val="15"/>
          <w:szCs w:val="15"/>
        </w:rPr>
        <w:t>编制清算财务报表</w:t>
      </w:r>
    </w:p>
    <w:p>
      <w:pPr>
        <w:autoSpaceDN w:val="0"/>
        <w:spacing w:line="160" w:lineRule="exact"/>
        <w:rPr>
          <w:rFonts w:ascii="宋体" w:cs="宋体"/>
          <w:sz w:val="15"/>
          <w:szCs w:val="15"/>
        </w:rPr>
      </w:pPr>
      <w:r>
        <w:rPr>
          <w:rFonts w:hint="eastAsia" w:ascii="宋体" w:hAnsi="宋体" w:cs="宋体"/>
          <w:sz w:val="15"/>
          <w:szCs w:val="15"/>
        </w:rPr>
        <w:t>重整申请和重整期间。重整是指经债务人或者债权人申请，人民法院批准，对破产或者有可能出现破产的债务人，制定重整计划，进行生产经营上的整顿，以使债务人摆脱困境、恢复生机的法律制度。在重整期间有下列情形之一的，经营理人或者利害关系人请求，人民法院应当裁定终止重整程序，并宜告债务人破产：</w:t>
      </w:r>
      <w:r>
        <w:rPr>
          <w:rFonts w:ascii="宋体" w:hAnsi="宋体" w:cs="宋体"/>
          <w:sz w:val="15"/>
          <w:szCs w:val="15"/>
        </w:rPr>
        <w:t xml:space="preserve"> 1</w:t>
      </w:r>
      <w:r>
        <w:rPr>
          <w:rFonts w:hint="eastAsia" w:ascii="宋体" w:hAnsi="宋体" w:cs="宋体"/>
          <w:sz w:val="15"/>
          <w:szCs w:val="15"/>
        </w:rPr>
        <w:t>，债务人的经营状况和财产状况继续恶化，缺乏挽救的可能性。</w:t>
      </w:r>
      <w:r>
        <w:rPr>
          <w:rFonts w:ascii="宋体" w:hAnsi="宋体" w:cs="宋体"/>
          <w:sz w:val="15"/>
          <w:szCs w:val="15"/>
        </w:rPr>
        <w:t>2</w:t>
      </w:r>
      <w:r>
        <w:rPr>
          <w:rFonts w:hint="eastAsia" w:ascii="宋体" w:hAnsi="宋体" w:cs="宋体"/>
          <w:sz w:val="15"/>
          <w:szCs w:val="15"/>
        </w:rPr>
        <w:t>，债务人有欺诈、恶意减少债务人财产或者其他显著不利于债权人的行为。</w:t>
      </w:r>
      <w:r>
        <w:rPr>
          <w:rFonts w:ascii="宋体" w:hAnsi="宋体" w:cs="宋体"/>
          <w:sz w:val="15"/>
          <w:szCs w:val="15"/>
        </w:rPr>
        <w:t>3</w:t>
      </w:r>
      <w:r>
        <w:rPr>
          <w:rFonts w:hint="eastAsia" w:ascii="宋体" w:hAnsi="宋体" w:cs="宋体"/>
          <w:sz w:val="15"/>
          <w:szCs w:val="15"/>
        </w:rPr>
        <w:t>，由于债务人的行为致使管理人无法执行职务。</w:t>
      </w:r>
    </w:p>
    <w:p>
      <w:pPr>
        <w:autoSpaceDN w:val="0"/>
        <w:spacing w:line="160" w:lineRule="exact"/>
        <w:rPr>
          <w:rFonts w:ascii="宋体" w:cs="宋体"/>
          <w:sz w:val="15"/>
          <w:szCs w:val="15"/>
        </w:rPr>
      </w:pPr>
      <w:r>
        <w:rPr>
          <w:rFonts w:hint="eastAsia" w:ascii="宋体" w:hAnsi="宋体" w:cs="宋体"/>
          <w:b/>
          <w:sz w:val="15"/>
          <w:szCs w:val="15"/>
        </w:rPr>
        <w:t>和解</w:t>
      </w:r>
      <w:r>
        <w:rPr>
          <w:rFonts w:hint="eastAsia" w:ascii="宋体" w:hAnsi="宋体" w:cs="宋体"/>
          <w:sz w:val="15"/>
          <w:szCs w:val="15"/>
        </w:rPr>
        <w:t>：是指在法院受理的破产案件后，债权人会议就企业延期清偿债务、减免债务数额等问题的解决达成协议。</w:t>
      </w:r>
    </w:p>
    <w:p>
      <w:pPr>
        <w:autoSpaceDN w:val="0"/>
        <w:spacing w:line="160" w:lineRule="exact"/>
        <w:rPr>
          <w:rFonts w:ascii="宋体" w:cs="宋体"/>
          <w:sz w:val="15"/>
          <w:szCs w:val="15"/>
        </w:rPr>
      </w:pPr>
      <w:r>
        <w:rPr>
          <w:rFonts w:hint="eastAsia" w:ascii="宋体" w:hAnsi="宋体" w:cs="宋体"/>
          <w:b/>
          <w:sz w:val="15"/>
          <w:szCs w:val="15"/>
        </w:rPr>
        <w:t>破产宣告</w:t>
      </w:r>
      <w:r>
        <w:rPr>
          <w:rFonts w:hint="eastAsia" w:ascii="宋体" w:hAnsi="宋体" w:cs="宋体"/>
          <w:sz w:val="15"/>
          <w:szCs w:val="15"/>
        </w:rPr>
        <w:t>：人民法院依照破产法规定宣告债务人破产的，债务人称为破产人，债务人财产称为破产财产。</w:t>
      </w:r>
    </w:p>
    <w:p>
      <w:pPr>
        <w:autoSpaceDN w:val="0"/>
        <w:spacing w:line="160" w:lineRule="exact"/>
        <w:rPr>
          <w:rFonts w:ascii="宋体" w:cs="宋体"/>
          <w:sz w:val="15"/>
          <w:szCs w:val="15"/>
        </w:rPr>
      </w:pPr>
    </w:p>
    <w:p>
      <w:pPr>
        <w:autoSpaceDN w:val="0"/>
        <w:spacing w:line="160" w:lineRule="exact"/>
        <w:rPr>
          <w:rFonts w:ascii="宋体" w:cs="宋体"/>
          <w:sz w:val="15"/>
          <w:szCs w:val="15"/>
        </w:rPr>
      </w:pPr>
      <w:r>
        <w:rPr>
          <w:rFonts w:hint="eastAsia" w:ascii="宋体" w:hAnsi="宋体" w:cs="宋体"/>
          <w:b/>
          <w:sz w:val="15"/>
          <w:szCs w:val="15"/>
        </w:rPr>
        <w:t>破产费用</w:t>
      </w:r>
      <w:r>
        <w:rPr>
          <w:rFonts w:hint="eastAsia" w:ascii="宋体" w:hAnsi="宋体" w:cs="宋体"/>
          <w:sz w:val="15"/>
          <w:szCs w:val="15"/>
        </w:rPr>
        <w:t>，指人民法院受理破产申请后发生的下列费用：破产案件的诉讼费用：管理、变价和分配债务人财产的费用，管理人执行职务的费用，报酬和聘用工作人员的费用。</w:t>
      </w:r>
    </w:p>
    <w:p>
      <w:pPr>
        <w:autoSpaceDN w:val="0"/>
        <w:spacing w:line="160" w:lineRule="exact"/>
        <w:rPr>
          <w:rFonts w:ascii="宋体" w:cs="宋体"/>
          <w:sz w:val="15"/>
          <w:szCs w:val="15"/>
        </w:rPr>
      </w:pPr>
      <w:r>
        <w:rPr>
          <w:rFonts w:hint="eastAsia" w:ascii="宋体" w:hAnsi="宋体" w:cs="宋体"/>
          <w:b/>
          <w:sz w:val="15"/>
          <w:szCs w:val="15"/>
        </w:rPr>
        <w:t>共益债务</w:t>
      </w:r>
      <w:r>
        <w:rPr>
          <w:rFonts w:hint="eastAsia" w:ascii="宋体" w:hAnsi="宋体" w:cs="宋体"/>
          <w:sz w:val="15"/>
          <w:szCs w:val="15"/>
        </w:rPr>
        <w:t>：是指人民法院受理破产申请后发生的下列债务：</w:t>
      </w:r>
      <w:r>
        <w:rPr>
          <w:rFonts w:ascii="宋体" w:hAnsi="宋体" w:cs="宋体"/>
          <w:sz w:val="15"/>
          <w:szCs w:val="15"/>
        </w:rPr>
        <w:t>1</w:t>
      </w:r>
      <w:r>
        <w:rPr>
          <w:rFonts w:hint="eastAsia" w:ascii="宋体" w:hAnsi="宋体" w:cs="宋体"/>
          <w:sz w:val="15"/>
          <w:szCs w:val="15"/>
        </w:rPr>
        <w:t>，因管理人或者债务人请求对方当事人履行双方均未履行完毕的合同所产生的债务。</w:t>
      </w:r>
      <w:r>
        <w:rPr>
          <w:rFonts w:ascii="宋体" w:hAnsi="宋体" w:cs="宋体"/>
          <w:sz w:val="15"/>
          <w:szCs w:val="15"/>
        </w:rPr>
        <w:t>2</w:t>
      </w:r>
      <w:r>
        <w:rPr>
          <w:rFonts w:hint="eastAsia" w:ascii="宋体" w:hAnsi="宋体" w:cs="宋体"/>
          <w:sz w:val="15"/>
          <w:szCs w:val="15"/>
        </w:rPr>
        <w:t>，债务人财产受无因管理所产生的债务。</w:t>
      </w:r>
      <w:r>
        <w:rPr>
          <w:rFonts w:ascii="宋体" w:hAnsi="宋体" w:cs="宋体"/>
          <w:sz w:val="15"/>
          <w:szCs w:val="15"/>
        </w:rPr>
        <w:t>3</w:t>
      </w:r>
      <w:r>
        <w:rPr>
          <w:rFonts w:hint="eastAsia" w:ascii="宋体" w:hAnsi="宋体" w:cs="宋体"/>
          <w:sz w:val="15"/>
          <w:szCs w:val="15"/>
        </w:rPr>
        <w:t>，因债务人不当得利所产生的债务。</w:t>
      </w:r>
      <w:r>
        <w:rPr>
          <w:rFonts w:ascii="宋体" w:hAnsi="宋体" w:cs="宋体"/>
          <w:sz w:val="15"/>
          <w:szCs w:val="15"/>
        </w:rPr>
        <w:t>4</w:t>
      </w:r>
      <w:r>
        <w:rPr>
          <w:rFonts w:hint="eastAsia" w:ascii="宋体" w:hAnsi="宋体" w:cs="宋体"/>
          <w:sz w:val="15"/>
          <w:szCs w:val="15"/>
        </w:rPr>
        <w:t>，为债务人继续营业而应支付的劳动报酬和社会保险费用以及由此产生的其他债务。</w:t>
      </w:r>
      <w:r>
        <w:rPr>
          <w:rFonts w:ascii="宋体" w:hAnsi="宋体" w:cs="宋体"/>
          <w:sz w:val="15"/>
          <w:szCs w:val="15"/>
        </w:rPr>
        <w:t>5</w:t>
      </w:r>
      <w:r>
        <w:rPr>
          <w:rFonts w:hint="eastAsia" w:ascii="宋体" w:hAnsi="宋体" w:cs="宋体"/>
          <w:sz w:val="15"/>
          <w:szCs w:val="15"/>
        </w:rPr>
        <w:t>，管理人或者相关人员执行职务致人损害所产生的债务。</w:t>
      </w:r>
      <w:r>
        <w:rPr>
          <w:rFonts w:ascii="宋体" w:hAnsi="宋体" w:cs="宋体"/>
          <w:sz w:val="15"/>
          <w:szCs w:val="15"/>
        </w:rPr>
        <w:t>6</w:t>
      </w:r>
      <w:r>
        <w:rPr>
          <w:rFonts w:hint="eastAsia" w:ascii="宋体" w:hAnsi="宋体" w:cs="宋体"/>
          <w:sz w:val="15"/>
          <w:szCs w:val="15"/>
        </w:rPr>
        <w:t>，债务人财产致人损害所产生的债务</w:t>
      </w:r>
    </w:p>
    <w:p>
      <w:pPr>
        <w:autoSpaceDN w:val="0"/>
        <w:spacing w:line="160" w:lineRule="exact"/>
        <w:rPr>
          <w:rFonts w:ascii="宋体" w:cs="宋体"/>
          <w:b/>
          <w:sz w:val="15"/>
          <w:szCs w:val="15"/>
        </w:rPr>
      </w:pPr>
      <w:r>
        <w:rPr>
          <w:rFonts w:hint="eastAsia" w:ascii="宋体" w:hAnsi="宋体" w:cs="宋体"/>
          <w:b/>
          <w:sz w:val="15"/>
          <w:szCs w:val="15"/>
        </w:rPr>
        <w:t>简述破产财产的清偿顺序</w:t>
      </w:r>
    </w:p>
    <w:p>
      <w:pPr>
        <w:autoSpaceDN w:val="0"/>
        <w:spacing w:line="160" w:lineRule="exact"/>
        <w:rPr>
          <w:rFonts w:ascii="宋体" w:cs="宋体"/>
          <w:sz w:val="15"/>
          <w:szCs w:val="15"/>
        </w:rPr>
      </w:pPr>
      <w:r>
        <w:rPr>
          <w:rFonts w:hint="eastAsia" w:ascii="宋体" w:hAnsi="宋体" w:cs="宋体"/>
          <w:sz w:val="15"/>
          <w:szCs w:val="15"/>
        </w:rPr>
        <w:t>第一：破产人所欠职工的工资和医疗、伤残补助。抚恤费用，所欠的应当划入职工个人账户的基本养老保险，基本医疗保险费用，以及法律、行政法规规定应当支付给职工的补偿金。</w:t>
      </w:r>
    </w:p>
    <w:p>
      <w:pPr>
        <w:autoSpaceDN w:val="0"/>
        <w:spacing w:line="160" w:lineRule="exact"/>
        <w:rPr>
          <w:rFonts w:ascii="宋体" w:cs="宋体"/>
          <w:sz w:val="15"/>
          <w:szCs w:val="15"/>
        </w:rPr>
      </w:pPr>
      <w:r>
        <w:rPr>
          <w:rFonts w:hint="eastAsia" w:ascii="宋体" w:hAnsi="宋体" w:cs="宋体"/>
          <w:sz w:val="15"/>
          <w:szCs w:val="15"/>
        </w:rPr>
        <w:t>第二：破产人欠缴的除前项规定以外的社会保险费用和破产人所欠税款。</w:t>
      </w:r>
    </w:p>
    <w:p>
      <w:pPr>
        <w:autoSpaceDN w:val="0"/>
        <w:spacing w:line="160" w:lineRule="exact"/>
        <w:rPr>
          <w:rFonts w:ascii="宋体" w:cs="宋体"/>
          <w:sz w:val="15"/>
          <w:szCs w:val="15"/>
        </w:rPr>
      </w:pPr>
      <w:r>
        <w:rPr>
          <w:rFonts w:hint="eastAsia" w:ascii="宋体" w:hAnsi="宋体" w:cs="宋体"/>
          <w:sz w:val="15"/>
          <w:szCs w:val="15"/>
        </w:rPr>
        <w:t>第三：普通破产债权，在破产财产不足以清偿不足以清偿同一顺序的清偿要求的，按照比例分配。</w:t>
      </w:r>
    </w:p>
    <w:p>
      <w:pPr>
        <w:autoSpaceDN w:val="0"/>
        <w:spacing w:line="160" w:lineRule="exact"/>
        <w:rPr>
          <w:rFonts w:ascii="宋体" w:cs="宋体"/>
          <w:sz w:val="15"/>
          <w:szCs w:val="15"/>
        </w:rPr>
      </w:pPr>
      <w:r>
        <w:rPr>
          <w:rFonts w:hint="eastAsia" w:ascii="宋体" w:hAnsi="宋体" w:cs="宋体"/>
          <w:sz w:val="15"/>
          <w:szCs w:val="15"/>
        </w:rPr>
        <w:t>破产清算的会计核算”</w:t>
      </w:r>
      <w:r>
        <w:rPr>
          <w:rFonts w:ascii="宋体" w:hAnsi="宋体" w:cs="宋体"/>
          <w:sz w:val="15"/>
          <w:szCs w:val="15"/>
        </w:rPr>
        <w:t xml:space="preserve"> </w:t>
      </w:r>
      <w:r>
        <w:rPr>
          <w:rFonts w:hint="eastAsia" w:ascii="宋体" w:hAnsi="宋体" w:cs="宋体"/>
          <w:sz w:val="15"/>
          <w:szCs w:val="15"/>
        </w:rPr>
        <w:t>管理人进行破产清算的会计核算，首先应接管破产企业的账户，并增设清算费用，土地转让收益和清算损益账户</w:t>
      </w:r>
    </w:p>
    <w:p>
      <w:pPr>
        <w:autoSpaceDN w:val="0"/>
        <w:spacing w:line="160" w:lineRule="exact"/>
        <w:rPr>
          <w:rFonts w:ascii="宋体" w:cs="宋体"/>
          <w:sz w:val="15"/>
          <w:szCs w:val="15"/>
        </w:rPr>
      </w:pPr>
      <w:r>
        <w:rPr>
          <w:rFonts w:hint="eastAsia" w:ascii="宋体" w:hAnsi="宋体" w:cs="宋体"/>
          <w:sz w:val="15"/>
          <w:szCs w:val="15"/>
        </w:rPr>
        <w:t>破产清算的会计处理</w:t>
      </w:r>
    </w:p>
    <w:p>
      <w:pPr>
        <w:autoSpaceDN w:val="0"/>
        <w:spacing w:line="160" w:lineRule="exact"/>
        <w:rPr>
          <w:rFonts w:ascii="宋体" w:cs="宋体"/>
          <w:sz w:val="15"/>
          <w:szCs w:val="15"/>
        </w:rPr>
      </w:pPr>
      <w:r>
        <w:rPr>
          <w:rFonts w:hint="eastAsia" w:ascii="宋体" w:hAnsi="宋体" w:cs="宋体"/>
          <w:sz w:val="15"/>
          <w:szCs w:val="15"/>
        </w:rPr>
        <w:t>借：清算损益</w:t>
      </w:r>
      <w:r>
        <w:rPr>
          <w:rFonts w:ascii="宋体" w:hAnsi="宋体" w:cs="宋体"/>
          <w:sz w:val="15"/>
          <w:szCs w:val="15"/>
        </w:rPr>
        <w:t xml:space="preserve">     849600</w:t>
      </w:r>
    </w:p>
    <w:p>
      <w:pPr>
        <w:autoSpaceDN w:val="0"/>
        <w:spacing w:line="160" w:lineRule="exact"/>
        <w:ind w:firstLine="300" w:firstLineChars="200"/>
        <w:rPr>
          <w:rFonts w:ascii="宋体" w:cs="宋体"/>
          <w:sz w:val="15"/>
          <w:szCs w:val="15"/>
        </w:rPr>
      </w:pPr>
      <w:r>
        <w:rPr>
          <w:rFonts w:hint="eastAsia" w:ascii="宋体" w:hAnsi="宋体" w:cs="宋体"/>
          <w:sz w:val="15"/>
          <w:szCs w:val="15"/>
        </w:rPr>
        <w:t>实收资本</w:t>
      </w:r>
      <w:r>
        <w:rPr>
          <w:rFonts w:ascii="宋体" w:hAnsi="宋体" w:cs="宋体"/>
          <w:sz w:val="15"/>
          <w:szCs w:val="15"/>
        </w:rPr>
        <w:t xml:space="preserve">     500000</w:t>
      </w:r>
    </w:p>
    <w:p>
      <w:pPr>
        <w:autoSpaceDN w:val="0"/>
        <w:spacing w:line="160" w:lineRule="exact"/>
        <w:ind w:firstLine="300" w:firstLineChars="200"/>
        <w:rPr>
          <w:rFonts w:ascii="宋体" w:cs="宋体"/>
          <w:sz w:val="15"/>
          <w:szCs w:val="15"/>
        </w:rPr>
      </w:pPr>
      <w:r>
        <w:rPr>
          <w:rFonts w:hint="eastAsia" w:ascii="宋体" w:hAnsi="宋体" w:cs="宋体"/>
          <w:sz w:val="15"/>
          <w:szCs w:val="15"/>
        </w:rPr>
        <w:t>资本公积</w:t>
      </w:r>
      <w:r>
        <w:rPr>
          <w:rFonts w:ascii="宋体" w:hAnsi="宋体" w:cs="宋体"/>
          <w:sz w:val="15"/>
          <w:szCs w:val="15"/>
        </w:rPr>
        <w:t xml:space="preserve">      63000</w:t>
      </w:r>
    </w:p>
    <w:p>
      <w:pPr>
        <w:autoSpaceDN w:val="0"/>
        <w:spacing w:line="160" w:lineRule="exact"/>
        <w:ind w:firstLine="300" w:firstLineChars="200"/>
        <w:rPr>
          <w:rFonts w:ascii="宋体" w:cs="宋体"/>
          <w:sz w:val="15"/>
          <w:szCs w:val="15"/>
        </w:rPr>
      </w:pPr>
      <w:r>
        <w:rPr>
          <w:rFonts w:hint="eastAsia" w:ascii="宋体" w:hAnsi="宋体" w:cs="宋体"/>
          <w:sz w:val="15"/>
          <w:szCs w:val="15"/>
        </w:rPr>
        <w:t>盈余公积</w:t>
      </w:r>
      <w:r>
        <w:rPr>
          <w:rFonts w:ascii="宋体" w:hAnsi="宋体" w:cs="宋体"/>
          <w:sz w:val="15"/>
          <w:szCs w:val="15"/>
        </w:rPr>
        <w:t xml:space="preserve">      88280</w:t>
      </w:r>
    </w:p>
    <w:p>
      <w:pPr>
        <w:autoSpaceDN w:val="0"/>
        <w:spacing w:line="160" w:lineRule="exact"/>
        <w:ind w:firstLine="300" w:firstLineChars="200"/>
        <w:rPr>
          <w:rFonts w:ascii="宋体" w:cs="宋体"/>
          <w:sz w:val="15"/>
          <w:szCs w:val="15"/>
        </w:rPr>
      </w:pPr>
      <w:r>
        <w:rPr>
          <w:rFonts w:hint="eastAsia" w:ascii="宋体" w:hAnsi="宋体" w:cs="宋体"/>
          <w:sz w:val="15"/>
          <w:szCs w:val="15"/>
        </w:rPr>
        <w:t>利润分配</w:t>
      </w:r>
      <w:r>
        <w:rPr>
          <w:rFonts w:ascii="宋体" w:hAnsi="宋体" w:cs="宋体"/>
          <w:sz w:val="15"/>
          <w:szCs w:val="15"/>
        </w:rPr>
        <w:t xml:space="preserve">      171120</w:t>
      </w:r>
    </w:p>
    <w:p>
      <w:pPr>
        <w:autoSpaceDN w:val="0"/>
        <w:spacing w:line="160" w:lineRule="exact"/>
        <w:rPr>
          <w:rFonts w:ascii="宋体" w:cs="宋体"/>
          <w:sz w:val="15"/>
          <w:szCs w:val="15"/>
        </w:rPr>
      </w:pPr>
      <w:r>
        <w:rPr>
          <w:rFonts w:hint="eastAsia" w:ascii="宋体" w:hAnsi="宋体" w:cs="宋体"/>
          <w:sz w:val="15"/>
          <w:szCs w:val="15"/>
        </w:rPr>
        <w:t>贷：待处理财产损益</w:t>
      </w:r>
      <w:r>
        <w:rPr>
          <w:rFonts w:ascii="宋体" w:hAnsi="宋体" w:cs="宋体"/>
          <w:sz w:val="15"/>
          <w:szCs w:val="15"/>
        </w:rPr>
        <w:t xml:space="preserve">     607000</w:t>
      </w:r>
    </w:p>
    <w:p>
      <w:pPr>
        <w:autoSpaceDN w:val="0"/>
        <w:spacing w:line="160" w:lineRule="exact"/>
        <w:ind w:firstLine="300" w:firstLineChars="200"/>
        <w:rPr>
          <w:rFonts w:ascii="宋体" w:cs="宋体"/>
          <w:sz w:val="15"/>
          <w:szCs w:val="15"/>
        </w:rPr>
      </w:pPr>
      <w:r>
        <w:rPr>
          <w:rFonts w:hint="eastAsia" w:ascii="宋体" w:hAnsi="宋体" w:cs="宋体"/>
          <w:sz w:val="15"/>
          <w:szCs w:val="15"/>
        </w:rPr>
        <w:t>长期待摊费用</w:t>
      </w:r>
      <w:r>
        <w:rPr>
          <w:rFonts w:ascii="宋体" w:hAnsi="宋体" w:cs="宋体"/>
          <w:sz w:val="15"/>
          <w:szCs w:val="15"/>
        </w:rPr>
        <w:t xml:space="preserve">       1065000</w:t>
      </w:r>
    </w:p>
    <w:p>
      <w:pPr>
        <w:autoSpaceDN w:val="0"/>
        <w:spacing w:line="160" w:lineRule="exact"/>
        <w:rPr>
          <w:rFonts w:ascii="宋体" w:cs="宋体"/>
          <w:sz w:val="15"/>
          <w:szCs w:val="15"/>
        </w:rPr>
      </w:pPr>
      <w:r>
        <w:rPr>
          <w:rFonts w:hint="eastAsia" w:ascii="宋体" w:hAnsi="宋体" w:cs="宋体"/>
          <w:sz w:val="15"/>
          <w:szCs w:val="15"/>
        </w:rPr>
        <w:t>在财产清查的基础上编制清查后的财产盘点表和资产负债表：</w:t>
      </w:r>
    </w:p>
    <w:p>
      <w:pPr>
        <w:autoSpaceDN w:val="0"/>
        <w:spacing w:line="160" w:lineRule="exact"/>
        <w:rPr>
          <w:rFonts w:ascii="宋体" w:cs="宋体"/>
          <w:sz w:val="15"/>
          <w:szCs w:val="15"/>
        </w:rPr>
      </w:pPr>
      <w:r>
        <w:rPr>
          <w:rFonts w:hint="eastAsia" w:ascii="宋体" w:hAnsi="宋体" w:cs="宋体"/>
          <w:sz w:val="15"/>
          <w:szCs w:val="15"/>
        </w:rPr>
        <w:t>无法收回的应收账款</w:t>
      </w:r>
    </w:p>
    <w:p>
      <w:pPr>
        <w:autoSpaceDN w:val="0"/>
        <w:spacing w:line="160" w:lineRule="exact"/>
        <w:rPr>
          <w:rFonts w:ascii="宋体" w:cs="宋体"/>
          <w:sz w:val="15"/>
          <w:szCs w:val="15"/>
        </w:rPr>
      </w:pPr>
      <w:r>
        <w:rPr>
          <w:rFonts w:hint="eastAsia" w:ascii="宋体" w:hAnsi="宋体" w:cs="宋体"/>
          <w:sz w:val="15"/>
          <w:szCs w:val="15"/>
        </w:rPr>
        <w:t>借：清算损益</w:t>
      </w:r>
    </w:p>
    <w:p>
      <w:pPr>
        <w:autoSpaceDN w:val="0"/>
        <w:spacing w:line="160" w:lineRule="exact"/>
        <w:rPr>
          <w:rFonts w:ascii="宋体" w:cs="宋体"/>
          <w:sz w:val="15"/>
          <w:szCs w:val="15"/>
        </w:rPr>
      </w:pPr>
      <w:r>
        <w:rPr>
          <w:rFonts w:hint="eastAsia" w:ascii="宋体" w:hAnsi="宋体" w:cs="宋体"/>
          <w:sz w:val="15"/>
          <w:szCs w:val="15"/>
        </w:rPr>
        <w:t>贷：应收账款</w:t>
      </w:r>
    </w:p>
    <w:p>
      <w:pPr>
        <w:autoSpaceDN w:val="0"/>
        <w:spacing w:line="160" w:lineRule="exact"/>
        <w:rPr>
          <w:rFonts w:ascii="宋体" w:cs="宋体"/>
          <w:sz w:val="15"/>
          <w:szCs w:val="15"/>
        </w:rPr>
      </w:pPr>
      <w:r>
        <w:rPr>
          <w:rFonts w:hint="eastAsia" w:ascii="宋体" w:hAnsi="宋体" w:cs="宋体"/>
          <w:sz w:val="15"/>
          <w:szCs w:val="15"/>
        </w:rPr>
        <w:t>发现的短缺库存商品</w:t>
      </w:r>
    </w:p>
    <w:p>
      <w:pPr>
        <w:autoSpaceDN w:val="0"/>
        <w:spacing w:line="160" w:lineRule="exact"/>
        <w:rPr>
          <w:rFonts w:ascii="宋体" w:cs="宋体"/>
          <w:sz w:val="15"/>
          <w:szCs w:val="15"/>
        </w:rPr>
      </w:pPr>
      <w:r>
        <w:rPr>
          <w:rFonts w:hint="eastAsia" w:ascii="宋体" w:hAnsi="宋体" w:cs="宋体"/>
          <w:sz w:val="15"/>
          <w:szCs w:val="15"/>
        </w:rPr>
        <w:t>借：清算损益</w:t>
      </w:r>
    </w:p>
    <w:p>
      <w:pPr>
        <w:autoSpaceDN w:val="0"/>
        <w:spacing w:line="160" w:lineRule="exact"/>
        <w:rPr>
          <w:rFonts w:ascii="宋体" w:cs="宋体"/>
          <w:sz w:val="15"/>
          <w:szCs w:val="15"/>
        </w:rPr>
      </w:pPr>
      <w:r>
        <w:rPr>
          <w:rFonts w:hint="eastAsia" w:ascii="宋体" w:hAnsi="宋体" w:cs="宋体"/>
          <w:sz w:val="15"/>
          <w:szCs w:val="15"/>
        </w:rPr>
        <w:t>贷：库存商品</w:t>
      </w:r>
    </w:p>
    <w:p>
      <w:pPr>
        <w:autoSpaceDN w:val="0"/>
        <w:spacing w:line="160" w:lineRule="exact"/>
        <w:rPr>
          <w:rFonts w:ascii="宋体" w:cs="宋体"/>
          <w:sz w:val="15"/>
          <w:szCs w:val="15"/>
        </w:rPr>
      </w:pPr>
      <w:r>
        <w:rPr>
          <w:rFonts w:hint="eastAsia" w:ascii="宋体" w:hAnsi="宋体" w:cs="宋体"/>
          <w:sz w:val="15"/>
          <w:szCs w:val="15"/>
        </w:rPr>
        <w:t>以无实际价值的商标权</w:t>
      </w:r>
    </w:p>
    <w:p>
      <w:pPr>
        <w:autoSpaceDN w:val="0"/>
        <w:spacing w:line="160" w:lineRule="exact"/>
        <w:rPr>
          <w:rFonts w:ascii="宋体" w:cs="宋体"/>
          <w:sz w:val="15"/>
          <w:szCs w:val="15"/>
        </w:rPr>
      </w:pPr>
      <w:r>
        <w:rPr>
          <w:rFonts w:hint="eastAsia" w:ascii="宋体" w:hAnsi="宋体" w:cs="宋体"/>
          <w:sz w:val="15"/>
          <w:szCs w:val="15"/>
        </w:rPr>
        <w:t>借：清算损益</w:t>
      </w:r>
    </w:p>
    <w:p>
      <w:pPr>
        <w:autoSpaceDN w:val="0"/>
        <w:spacing w:line="160" w:lineRule="exact"/>
        <w:rPr>
          <w:rFonts w:ascii="宋体" w:cs="宋体"/>
          <w:sz w:val="15"/>
          <w:szCs w:val="15"/>
        </w:rPr>
      </w:pPr>
      <w:r>
        <w:rPr>
          <w:rFonts w:hint="eastAsia" w:ascii="宋体" w:hAnsi="宋体" w:cs="宋体"/>
          <w:sz w:val="15"/>
          <w:szCs w:val="15"/>
        </w:rPr>
        <w:t>贷：无形资产</w:t>
      </w:r>
    </w:p>
    <w:p>
      <w:pPr>
        <w:autoSpaceDN w:val="0"/>
        <w:spacing w:line="160" w:lineRule="exact"/>
        <w:rPr>
          <w:rFonts w:ascii="宋体" w:cs="宋体"/>
          <w:sz w:val="15"/>
          <w:szCs w:val="15"/>
        </w:rPr>
      </w:pPr>
      <w:r>
        <w:rPr>
          <w:rFonts w:hint="eastAsia" w:ascii="宋体" w:hAnsi="宋体" w:cs="宋体"/>
          <w:sz w:val="15"/>
          <w:szCs w:val="15"/>
        </w:rPr>
        <w:t>银行存款或库存现金</w:t>
      </w:r>
    </w:p>
    <w:p>
      <w:pPr>
        <w:autoSpaceDN w:val="0"/>
        <w:spacing w:line="160" w:lineRule="exact"/>
        <w:rPr>
          <w:rFonts w:ascii="宋体" w:cs="宋体"/>
          <w:sz w:val="15"/>
          <w:szCs w:val="15"/>
        </w:rPr>
      </w:pPr>
      <w:r>
        <w:rPr>
          <w:rFonts w:hint="eastAsia" w:ascii="宋体" w:hAnsi="宋体" w:cs="宋体"/>
          <w:sz w:val="15"/>
          <w:szCs w:val="15"/>
        </w:rPr>
        <w:t>按实际收回金额</w:t>
      </w:r>
    </w:p>
    <w:p>
      <w:pPr>
        <w:autoSpaceDN w:val="0"/>
        <w:spacing w:line="160" w:lineRule="exact"/>
        <w:rPr>
          <w:rFonts w:ascii="宋体" w:cs="宋体"/>
          <w:sz w:val="15"/>
          <w:szCs w:val="15"/>
        </w:rPr>
      </w:pPr>
      <w:r>
        <w:rPr>
          <w:rFonts w:hint="eastAsia" w:ascii="宋体" w:hAnsi="宋体" w:cs="宋体"/>
          <w:sz w:val="15"/>
          <w:szCs w:val="15"/>
        </w:rPr>
        <w:t>借：银行存款</w:t>
      </w:r>
    </w:p>
    <w:p>
      <w:pPr>
        <w:autoSpaceDN w:val="0"/>
        <w:spacing w:line="160" w:lineRule="exact"/>
        <w:rPr>
          <w:rFonts w:ascii="宋体" w:cs="宋体"/>
          <w:sz w:val="15"/>
          <w:szCs w:val="15"/>
        </w:rPr>
      </w:pPr>
      <w:r>
        <w:rPr>
          <w:rFonts w:hint="eastAsia" w:ascii="宋体" w:hAnsi="宋体" w:cs="宋体"/>
          <w:sz w:val="15"/>
          <w:szCs w:val="15"/>
        </w:rPr>
        <w:t>贷：应收账款，其他应收款</w:t>
      </w:r>
    </w:p>
    <w:p>
      <w:pPr>
        <w:autoSpaceDN w:val="0"/>
        <w:spacing w:line="160" w:lineRule="exact"/>
        <w:rPr>
          <w:rFonts w:ascii="宋体" w:cs="宋体"/>
          <w:sz w:val="15"/>
          <w:szCs w:val="15"/>
        </w:rPr>
      </w:pPr>
      <w:r>
        <w:rPr>
          <w:rFonts w:hint="eastAsia" w:ascii="宋体" w:hAnsi="宋体" w:cs="宋体"/>
          <w:sz w:val="15"/>
          <w:szCs w:val="15"/>
        </w:rPr>
        <w:t>不能收回的应收账款，按核销金额</w:t>
      </w:r>
    </w:p>
    <w:p>
      <w:pPr>
        <w:autoSpaceDN w:val="0"/>
        <w:spacing w:line="160" w:lineRule="exact"/>
        <w:rPr>
          <w:rFonts w:ascii="宋体" w:cs="宋体"/>
          <w:sz w:val="15"/>
          <w:szCs w:val="15"/>
        </w:rPr>
      </w:pPr>
      <w:r>
        <w:rPr>
          <w:rFonts w:hint="eastAsia" w:ascii="宋体" w:hAnsi="宋体" w:cs="宋体"/>
          <w:sz w:val="15"/>
          <w:szCs w:val="15"/>
        </w:rPr>
        <w:t>借：清算损益</w:t>
      </w:r>
    </w:p>
    <w:p>
      <w:pPr>
        <w:autoSpaceDN w:val="0"/>
        <w:spacing w:line="160" w:lineRule="exact"/>
        <w:rPr>
          <w:rFonts w:ascii="宋体" w:cs="宋体"/>
          <w:sz w:val="15"/>
          <w:szCs w:val="15"/>
        </w:rPr>
      </w:pPr>
      <w:r>
        <w:rPr>
          <w:rFonts w:hint="eastAsia" w:ascii="宋体" w:hAnsi="宋体" w:cs="宋体"/>
          <w:sz w:val="15"/>
          <w:szCs w:val="15"/>
        </w:rPr>
        <w:t>贷：应收账款，其他应收款</w:t>
      </w:r>
    </w:p>
    <w:p>
      <w:pPr>
        <w:autoSpaceDN w:val="0"/>
        <w:spacing w:line="160" w:lineRule="exact"/>
        <w:rPr>
          <w:rFonts w:ascii="宋体" w:cs="宋体"/>
          <w:sz w:val="15"/>
          <w:szCs w:val="15"/>
        </w:rPr>
      </w:pPr>
      <w:r>
        <w:rPr>
          <w:rFonts w:hint="eastAsia" w:ascii="宋体" w:hAnsi="宋体" w:cs="宋体"/>
          <w:sz w:val="15"/>
          <w:szCs w:val="15"/>
        </w:rPr>
        <w:t>原债务人以原材料，产成品等实物资产抵偿其会计分录</w:t>
      </w:r>
    </w:p>
    <w:p>
      <w:pPr>
        <w:autoSpaceDN w:val="0"/>
        <w:spacing w:line="160" w:lineRule="exact"/>
        <w:rPr>
          <w:rFonts w:ascii="宋体" w:cs="宋体"/>
          <w:sz w:val="15"/>
          <w:szCs w:val="15"/>
        </w:rPr>
      </w:pPr>
      <w:r>
        <w:rPr>
          <w:rFonts w:hint="eastAsia" w:ascii="宋体" w:hAnsi="宋体" w:cs="宋体"/>
          <w:sz w:val="15"/>
          <w:szCs w:val="15"/>
        </w:rPr>
        <w:t>借：原材料，库存商品（实物预计可变现金额）</w:t>
      </w:r>
    </w:p>
    <w:p>
      <w:pPr>
        <w:autoSpaceDN w:val="0"/>
        <w:spacing w:line="160" w:lineRule="exact"/>
        <w:rPr>
          <w:rFonts w:ascii="宋体" w:cs="宋体"/>
          <w:sz w:val="15"/>
          <w:szCs w:val="15"/>
        </w:rPr>
      </w:pPr>
      <w:r>
        <w:rPr>
          <w:rFonts w:hint="eastAsia" w:ascii="宋体" w:hAnsi="宋体" w:cs="宋体"/>
          <w:sz w:val="15"/>
          <w:szCs w:val="15"/>
        </w:rPr>
        <w:t>贷：应收账款，其他应收款（应收金额）</w:t>
      </w:r>
    </w:p>
    <w:p>
      <w:pPr>
        <w:autoSpaceDN w:val="0"/>
        <w:spacing w:line="160" w:lineRule="exact"/>
        <w:rPr>
          <w:rFonts w:ascii="宋体" w:cs="宋体"/>
          <w:sz w:val="15"/>
          <w:szCs w:val="15"/>
        </w:rPr>
      </w:pPr>
      <w:r>
        <w:rPr>
          <w:rFonts w:hint="eastAsia" w:ascii="宋体" w:hAnsi="宋体" w:cs="宋体"/>
          <w:sz w:val="15"/>
          <w:szCs w:val="15"/>
        </w:rPr>
        <w:t>借贷清算损益（应收金额可变现金额的差）</w:t>
      </w:r>
    </w:p>
    <w:p>
      <w:pPr>
        <w:autoSpaceDN w:val="0"/>
        <w:spacing w:line="160" w:lineRule="exact"/>
        <w:rPr>
          <w:rFonts w:ascii="宋体" w:cs="宋体"/>
          <w:sz w:val="15"/>
          <w:szCs w:val="15"/>
        </w:rPr>
      </w:pPr>
      <w:r>
        <w:rPr>
          <w:rFonts w:hint="eastAsia" w:ascii="宋体" w:hAnsi="宋体" w:cs="宋体"/>
          <w:sz w:val="15"/>
          <w:szCs w:val="15"/>
        </w:rPr>
        <w:t>变卖原材料、产成品库存货的核算</w:t>
      </w:r>
    </w:p>
    <w:p>
      <w:pPr>
        <w:autoSpaceDN w:val="0"/>
        <w:spacing w:line="160" w:lineRule="exact"/>
        <w:rPr>
          <w:rFonts w:ascii="宋体" w:cs="宋体"/>
          <w:sz w:val="15"/>
          <w:szCs w:val="15"/>
        </w:rPr>
      </w:pPr>
      <w:r>
        <w:rPr>
          <w:rFonts w:hint="eastAsia" w:ascii="宋体" w:hAnsi="宋体" w:cs="宋体"/>
          <w:sz w:val="15"/>
          <w:szCs w:val="15"/>
        </w:rPr>
        <w:t>借：银行存款（实际变卖收入和收取的增值税额）存货跌价的准备</w:t>
      </w:r>
    </w:p>
    <w:p>
      <w:pPr>
        <w:autoSpaceDN w:val="0"/>
        <w:spacing w:line="160" w:lineRule="exact"/>
        <w:rPr>
          <w:rFonts w:ascii="宋体" w:cs="宋体"/>
          <w:sz w:val="15"/>
          <w:szCs w:val="15"/>
        </w:rPr>
      </w:pPr>
      <w:r>
        <w:rPr>
          <w:rFonts w:hint="eastAsia" w:ascii="宋体" w:hAnsi="宋体" w:cs="宋体"/>
          <w:sz w:val="15"/>
          <w:szCs w:val="15"/>
        </w:rPr>
        <w:t>贷：原材料库存商品</w:t>
      </w:r>
      <w:r>
        <w:rPr>
          <w:rFonts w:ascii="宋体" w:hAnsi="宋体" w:cs="宋体"/>
          <w:sz w:val="15"/>
          <w:szCs w:val="15"/>
        </w:rPr>
        <w:t xml:space="preserve"> </w:t>
      </w:r>
      <w:r>
        <w:rPr>
          <w:rFonts w:hint="eastAsia" w:ascii="宋体" w:hAnsi="宋体" w:cs="宋体"/>
          <w:sz w:val="15"/>
          <w:szCs w:val="15"/>
        </w:rPr>
        <w:t>应交税费，应交增值税（销项税额）</w:t>
      </w:r>
      <w:r>
        <w:rPr>
          <w:rFonts w:ascii="宋体" w:hAnsi="宋体" w:cs="宋体"/>
          <w:sz w:val="15"/>
          <w:szCs w:val="15"/>
        </w:rPr>
        <w:t xml:space="preserve">         </w:t>
      </w:r>
      <w:r>
        <w:rPr>
          <w:rFonts w:hint="eastAsia" w:ascii="宋体" w:hAnsi="宋体" w:cs="宋体"/>
          <w:sz w:val="15"/>
          <w:szCs w:val="15"/>
        </w:rPr>
        <w:t>借记或贷记</w:t>
      </w:r>
      <w:r>
        <w:rPr>
          <w:rFonts w:ascii="宋体" w:hAnsi="宋体" w:cs="宋体"/>
          <w:sz w:val="15"/>
          <w:szCs w:val="15"/>
        </w:rPr>
        <w:t xml:space="preserve"> </w:t>
      </w:r>
      <w:r>
        <w:rPr>
          <w:rFonts w:hint="eastAsia" w:ascii="宋体" w:hAnsi="宋体" w:cs="宋体"/>
          <w:sz w:val="15"/>
          <w:szCs w:val="15"/>
        </w:rPr>
        <w:t>清算损益账户</w:t>
      </w:r>
    </w:p>
    <w:p>
      <w:pPr>
        <w:autoSpaceDN w:val="0"/>
        <w:spacing w:line="160" w:lineRule="exact"/>
        <w:rPr>
          <w:rFonts w:ascii="宋体" w:cs="宋体"/>
          <w:sz w:val="15"/>
          <w:szCs w:val="15"/>
        </w:rPr>
      </w:pPr>
      <w:r>
        <w:rPr>
          <w:rFonts w:hint="eastAsia" w:ascii="宋体" w:hAnsi="宋体" w:cs="宋体"/>
          <w:sz w:val="15"/>
          <w:szCs w:val="15"/>
        </w:rPr>
        <w:t>变卖固定资产和建工程的核算</w:t>
      </w:r>
    </w:p>
    <w:p>
      <w:pPr>
        <w:autoSpaceDN w:val="0"/>
        <w:spacing w:line="160" w:lineRule="exact"/>
        <w:rPr>
          <w:rFonts w:ascii="宋体" w:cs="宋体"/>
          <w:sz w:val="15"/>
          <w:szCs w:val="15"/>
        </w:rPr>
      </w:pPr>
      <w:r>
        <w:rPr>
          <w:rFonts w:hint="eastAsia" w:ascii="宋体" w:hAnsi="宋体" w:cs="宋体"/>
          <w:sz w:val="15"/>
          <w:szCs w:val="15"/>
        </w:rPr>
        <w:t>借：银行存款（实际变卖收入）累计折旧（已提折旧额）固定资产减值准备，在建工程减值准备</w:t>
      </w:r>
    </w:p>
    <w:p>
      <w:pPr>
        <w:autoSpaceDN w:val="0"/>
        <w:spacing w:line="160" w:lineRule="exact"/>
        <w:rPr>
          <w:rFonts w:ascii="宋体" w:cs="宋体"/>
          <w:sz w:val="15"/>
          <w:szCs w:val="15"/>
        </w:rPr>
      </w:pPr>
      <w:r>
        <w:rPr>
          <w:rFonts w:hint="eastAsia" w:ascii="宋体" w:hAnsi="宋体" w:cs="宋体"/>
          <w:sz w:val="15"/>
          <w:szCs w:val="15"/>
        </w:rPr>
        <w:t>贷：固定资产和在建工程</w:t>
      </w:r>
    </w:p>
    <w:p>
      <w:pPr>
        <w:autoSpaceDN w:val="0"/>
        <w:spacing w:line="160" w:lineRule="exact"/>
        <w:rPr>
          <w:rFonts w:ascii="宋体" w:cs="宋体"/>
          <w:sz w:val="15"/>
          <w:szCs w:val="15"/>
        </w:rPr>
      </w:pPr>
      <w:r>
        <w:rPr>
          <w:rFonts w:hint="eastAsia" w:ascii="宋体" w:hAnsi="宋体" w:cs="宋体"/>
          <w:sz w:val="15"/>
          <w:szCs w:val="15"/>
        </w:rPr>
        <w:t>借贷：清算损益</w:t>
      </w:r>
    </w:p>
    <w:p>
      <w:pPr>
        <w:autoSpaceDN w:val="0"/>
        <w:spacing w:line="160" w:lineRule="exact"/>
        <w:rPr>
          <w:rFonts w:ascii="宋体" w:cs="宋体"/>
          <w:sz w:val="15"/>
          <w:szCs w:val="15"/>
        </w:rPr>
      </w:pPr>
      <w:r>
        <w:rPr>
          <w:rFonts w:hint="eastAsia" w:ascii="宋体" w:hAnsi="宋体" w:cs="宋体"/>
          <w:sz w:val="15"/>
          <w:szCs w:val="15"/>
        </w:rPr>
        <w:t>对于变卖固定资产和在建工程应交纳的营业税等税费</w:t>
      </w:r>
    </w:p>
    <w:p>
      <w:pPr>
        <w:autoSpaceDN w:val="0"/>
        <w:spacing w:line="160" w:lineRule="exact"/>
        <w:rPr>
          <w:rFonts w:ascii="宋体" w:cs="宋体"/>
          <w:sz w:val="15"/>
          <w:szCs w:val="15"/>
        </w:rPr>
      </w:pPr>
      <w:r>
        <w:rPr>
          <w:rFonts w:hint="eastAsia" w:ascii="宋体" w:hAnsi="宋体" w:cs="宋体"/>
          <w:sz w:val="15"/>
          <w:szCs w:val="15"/>
        </w:rPr>
        <w:t>借：清算损益</w:t>
      </w:r>
    </w:p>
    <w:p>
      <w:pPr>
        <w:autoSpaceDN w:val="0"/>
        <w:spacing w:line="160" w:lineRule="exact"/>
        <w:rPr>
          <w:rFonts w:ascii="宋体" w:cs="宋体"/>
          <w:sz w:val="15"/>
          <w:szCs w:val="15"/>
        </w:rPr>
      </w:pPr>
      <w:r>
        <w:rPr>
          <w:rFonts w:hint="eastAsia" w:ascii="宋体" w:hAnsi="宋体" w:cs="宋体"/>
          <w:sz w:val="15"/>
          <w:szCs w:val="15"/>
        </w:rPr>
        <w:t>贷：应交税费</w:t>
      </w:r>
    </w:p>
    <w:p>
      <w:pPr>
        <w:autoSpaceDN w:val="0"/>
        <w:spacing w:line="160" w:lineRule="exact"/>
        <w:rPr>
          <w:rFonts w:ascii="宋体" w:cs="宋体"/>
          <w:sz w:val="15"/>
          <w:szCs w:val="15"/>
        </w:rPr>
      </w:pPr>
      <w:r>
        <w:rPr>
          <w:rFonts w:hint="eastAsia" w:ascii="宋体" w:hAnsi="宋体" w:cs="宋体"/>
          <w:sz w:val="15"/>
          <w:szCs w:val="15"/>
        </w:rPr>
        <w:t>清算组在转让破产企业</w:t>
      </w:r>
    </w:p>
    <w:p>
      <w:pPr>
        <w:autoSpaceDN w:val="0"/>
        <w:spacing w:line="160" w:lineRule="exact"/>
        <w:rPr>
          <w:rFonts w:ascii="宋体" w:cs="宋体"/>
          <w:sz w:val="15"/>
          <w:szCs w:val="15"/>
        </w:rPr>
      </w:pPr>
      <w:r>
        <w:rPr>
          <w:rFonts w:hint="eastAsia" w:ascii="宋体" w:hAnsi="宋体" w:cs="宋体"/>
          <w:sz w:val="15"/>
          <w:szCs w:val="15"/>
        </w:rPr>
        <w:t>借：银行存款（实际变卖收入）累计推选无形资产减值准备</w:t>
      </w:r>
    </w:p>
    <w:p>
      <w:pPr>
        <w:autoSpaceDN w:val="0"/>
        <w:spacing w:line="160" w:lineRule="exact"/>
        <w:rPr>
          <w:rFonts w:ascii="宋体" w:cs="宋体"/>
          <w:sz w:val="15"/>
          <w:szCs w:val="15"/>
        </w:rPr>
      </w:pPr>
      <w:r>
        <w:rPr>
          <w:rFonts w:hint="eastAsia" w:ascii="宋体" w:hAnsi="宋体" w:cs="宋体"/>
          <w:sz w:val="15"/>
          <w:szCs w:val="15"/>
        </w:rPr>
        <w:t>贷：无形资产（账面余额）</w:t>
      </w:r>
      <w:r>
        <w:rPr>
          <w:rFonts w:ascii="宋体" w:hAnsi="宋体" w:cs="宋体"/>
          <w:sz w:val="15"/>
          <w:szCs w:val="15"/>
        </w:rPr>
        <w:t xml:space="preserve"> </w:t>
      </w:r>
    </w:p>
    <w:p>
      <w:pPr>
        <w:autoSpaceDN w:val="0"/>
        <w:spacing w:line="160" w:lineRule="exact"/>
        <w:rPr>
          <w:rFonts w:ascii="宋体" w:cs="宋体"/>
          <w:sz w:val="15"/>
          <w:szCs w:val="15"/>
        </w:rPr>
      </w:pPr>
      <w:r>
        <w:rPr>
          <w:rFonts w:hint="eastAsia" w:ascii="宋体" w:hAnsi="宋体" w:cs="宋体"/>
          <w:sz w:val="15"/>
          <w:szCs w:val="15"/>
        </w:rPr>
        <w:t>借贷：清算损益</w:t>
      </w:r>
    </w:p>
    <w:p>
      <w:pPr>
        <w:autoSpaceDN w:val="0"/>
        <w:spacing w:line="160" w:lineRule="exact"/>
        <w:rPr>
          <w:rFonts w:ascii="宋体" w:cs="宋体"/>
          <w:sz w:val="15"/>
          <w:szCs w:val="15"/>
        </w:rPr>
      </w:pPr>
      <w:r>
        <w:rPr>
          <w:rFonts w:hint="eastAsia" w:ascii="宋体" w:hAnsi="宋体" w:cs="宋体"/>
          <w:sz w:val="15"/>
          <w:szCs w:val="15"/>
        </w:rPr>
        <w:t>转让长期股权投资的核算</w:t>
      </w:r>
    </w:p>
    <w:p>
      <w:pPr>
        <w:autoSpaceDN w:val="0"/>
        <w:spacing w:line="160" w:lineRule="exact"/>
        <w:rPr>
          <w:rFonts w:ascii="宋体" w:cs="宋体"/>
          <w:sz w:val="15"/>
          <w:szCs w:val="15"/>
        </w:rPr>
      </w:pPr>
      <w:r>
        <w:rPr>
          <w:rFonts w:hint="eastAsia" w:ascii="宋体" w:hAnsi="宋体" w:cs="宋体"/>
          <w:sz w:val="15"/>
          <w:szCs w:val="15"/>
        </w:rPr>
        <w:t>借：银行存款（实际转让收入）长期股权投资减值准备</w:t>
      </w:r>
    </w:p>
    <w:p>
      <w:pPr>
        <w:autoSpaceDN w:val="0"/>
        <w:spacing w:line="160" w:lineRule="exact"/>
        <w:rPr>
          <w:rFonts w:ascii="宋体" w:cs="宋体"/>
          <w:sz w:val="15"/>
          <w:szCs w:val="15"/>
        </w:rPr>
      </w:pPr>
      <w:r>
        <w:rPr>
          <w:rFonts w:hint="eastAsia" w:ascii="宋体" w:hAnsi="宋体" w:cs="宋体"/>
          <w:sz w:val="15"/>
          <w:szCs w:val="15"/>
        </w:rPr>
        <w:t>贷：长期股权投资（账面余额）</w:t>
      </w:r>
    </w:p>
    <w:p>
      <w:pPr>
        <w:autoSpaceDN w:val="0"/>
        <w:spacing w:line="160" w:lineRule="exact"/>
        <w:rPr>
          <w:rFonts w:ascii="宋体" w:cs="宋体"/>
          <w:sz w:val="15"/>
          <w:szCs w:val="15"/>
        </w:rPr>
      </w:pPr>
      <w:r>
        <w:rPr>
          <w:rFonts w:hint="eastAsia" w:ascii="宋体" w:hAnsi="宋体" w:cs="宋体"/>
          <w:sz w:val="15"/>
          <w:szCs w:val="15"/>
        </w:rPr>
        <w:t>借贷：清算损益</w:t>
      </w:r>
    </w:p>
    <w:p>
      <w:pPr>
        <w:autoSpaceDN w:val="0"/>
        <w:spacing w:line="160" w:lineRule="exact"/>
        <w:rPr>
          <w:rFonts w:ascii="宋体" w:cs="宋体"/>
          <w:sz w:val="15"/>
          <w:szCs w:val="15"/>
        </w:rPr>
      </w:pPr>
      <w:r>
        <w:rPr>
          <w:rFonts w:hint="eastAsia" w:ascii="宋体" w:hAnsi="宋体" w:cs="宋体"/>
          <w:sz w:val="15"/>
          <w:szCs w:val="15"/>
        </w:rPr>
        <w:t>如果破产企业在清算期间分得投资利润</w:t>
      </w:r>
    </w:p>
    <w:p>
      <w:pPr>
        <w:autoSpaceDN w:val="0"/>
        <w:spacing w:line="160" w:lineRule="exact"/>
        <w:rPr>
          <w:rFonts w:ascii="宋体" w:cs="宋体"/>
          <w:sz w:val="15"/>
          <w:szCs w:val="15"/>
        </w:rPr>
      </w:pPr>
      <w:r>
        <w:rPr>
          <w:rFonts w:hint="eastAsia" w:ascii="宋体" w:hAnsi="宋体" w:cs="宋体"/>
          <w:sz w:val="15"/>
          <w:szCs w:val="15"/>
        </w:rPr>
        <w:t>借：银行存款</w:t>
      </w:r>
    </w:p>
    <w:p>
      <w:pPr>
        <w:autoSpaceDN w:val="0"/>
        <w:spacing w:line="160" w:lineRule="exact"/>
        <w:rPr>
          <w:rFonts w:ascii="宋体" w:cs="宋体"/>
          <w:sz w:val="15"/>
          <w:szCs w:val="15"/>
        </w:rPr>
      </w:pPr>
      <w:r>
        <w:rPr>
          <w:rFonts w:hint="eastAsia" w:ascii="宋体" w:hAnsi="宋体" w:cs="宋体"/>
          <w:sz w:val="15"/>
          <w:szCs w:val="15"/>
        </w:rPr>
        <w:t>贷：清算损益</w:t>
      </w:r>
    </w:p>
    <w:p>
      <w:pPr>
        <w:autoSpaceDN w:val="0"/>
        <w:spacing w:line="160" w:lineRule="exact"/>
        <w:rPr>
          <w:rFonts w:ascii="宋体" w:cs="宋体"/>
          <w:sz w:val="15"/>
          <w:szCs w:val="15"/>
        </w:rPr>
      </w:pPr>
      <w:r>
        <w:rPr>
          <w:rFonts w:hint="eastAsia" w:ascii="宋体" w:hAnsi="宋体" w:cs="宋体"/>
          <w:sz w:val="15"/>
          <w:szCs w:val="15"/>
        </w:rPr>
        <w:t>实际分得的投资利润在权益法下已确定的投资收益，则在实际分得投资利润</w:t>
      </w:r>
    </w:p>
    <w:p>
      <w:pPr>
        <w:autoSpaceDN w:val="0"/>
        <w:spacing w:line="160" w:lineRule="exact"/>
        <w:rPr>
          <w:rFonts w:ascii="宋体" w:cs="宋体"/>
          <w:sz w:val="15"/>
          <w:szCs w:val="15"/>
        </w:rPr>
      </w:pPr>
      <w:r>
        <w:rPr>
          <w:rFonts w:hint="eastAsia" w:ascii="宋体" w:hAnsi="宋体" w:cs="宋体"/>
          <w:sz w:val="15"/>
          <w:szCs w:val="15"/>
        </w:rPr>
        <w:t>借：银行存款</w:t>
      </w:r>
    </w:p>
    <w:p>
      <w:pPr>
        <w:autoSpaceDN w:val="0"/>
        <w:spacing w:line="160" w:lineRule="exact"/>
        <w:rPr>
          <w:rFonts w:ascii="宋体" w:cs="宋体"/>
          <w:sz w:val="15"/>
          <w:szCs w:val="15"/>
        </w:rPr>
      </w:pPr>
      <w:r>
        <w:rPr>
          <w:rFonts w:hint="eastAsia" w:ascii="宋体" w:hAnsi="宋体" w:cs="宋体"/>
          <w:sz w:val="15"/>
          <w:szCs w:val="15"/>
        </w:rPr>
        <w:t>贷：长期股权投资</w:t>
      </w:r>
    </w:p>
    <w:p>
      <w:pPr>
        <w:autoSpaceDN w:val="0"/>
        <w:spacing w:line="160" w:lineRule="exact"/>
        <w:rPr>
          <w:rFonts w:ascii="宋体" w:cs="宋体"/>
          <w:sz w:val="15"/>
          <w:szCs w:val="15"/>
        </w:rPr>
      </w:pPr>
      <w:r>
        <w:rPr>
          <w:rFonts w:hint="eastAsia" w:ascii="宋体" w:hAnsi="宋体" w:cs="宋体"/>
          <w:sz w:val="15"/>
          <w:szCs w:val="15"/>
        </w:rPr>
        <w:t>转让土地使用权</w:t>
      </w:r>
    </w:p>
    <w:p>
      <w:pPr>
        <w:autoSpaceDN w:val="0"/>
        <w:spacing w:line="160" w:lineRule="exact"/>
        <w:rPr>
          <w:rFonts w:ascii="宋体" w:cs="宋体"/>
          <w:sz w:val="15"/>
          <w:szCs w:val="15"/>
        </w:rPr>
      </w:pPr>
      <w:r>
        <w:rPr>
          <w:rFonts w:hint="eastAsia" w:ascii="宋体" w:hAnsi="宋体" w:cs="宋体"/>
          <w:sz w:val="15"/>
          <w:szCs w:val="15"/>
        </w:rPr>
        <w:t>借：银行存款</w:t>
      </w:r>
    </w:p>
    <w:p>
      <w:pPr>
        <w:autoSpaceDN w:val="0"/>
        <w:spacing w:line="160" w:lineRule="exact"/>
        <w:rPr>
          <w:rFonts w:ascii="宋体" w:cs="宋体"/>
          <w:sz w:val="15"/>
          <w:szCs w:val="15"/>
        </w:rPr>
      </w:pPr>
      <w:r>
        <w:rPr>
          <w:rFonts w:hint="eastAsia" w:ascii="宋体" w:hAnsi="宋体" w:cs="宋体"/>
          <w:sz w:val="15"/>
          <w:szCs w:val="15"/>
        </w:rPr>
        <w:t>贷：土地转让股权</w:t>
      </w:r>
    </w:p>
    <w:p>
      <w:pPr>
        <w:autoSpaceDN w:val="0"/>
        <w:spacing w:line="160" w:lineRule="exact"/>
        <w:rPr>
          <w:rFonts w:ascii="宋体" w:cs="宋体"/>
          <w:sz w:val="15"/>
          <w:szCs w:val="15"/>
        </w:rPr>
      </w:pPr>
      <w:r>
        <w:rPr>
          <w:rFonts w:hint="eastAsia" w:ascii="宋体" w:hAnsi="宋体" w:cs="宋体"/>
          <w:sz w:val="15"/>
          <w:szCs w:val="15"/>
        </w:rPr>
        <w:t>所得支付职工安置费</w:t>
      </w:r>
    </w:p>
    <w:p>
      <w:pPr>
        <w:autoSpaceDN w:val="0"/>
        <w:spacing w:line="160" w:lineRule="exact"/>
        <w:rPr>
          <w:rFonts w:ascii="宋体" w:cs="宋体"/>
          <w:sz w:val="15"/>
          <w:szCs w:val="15"/>
        </w:rPr>
      </w:pPr>
      <w:r>
        <w:rPr>
          <w:rFonts w:hint="eastAsia" w:ascii="宋体" w:hAnsi="宋体" w:cs="宋体"/>
          <w:sz w:val="15"/>
          <w:szCs w:val="15"/>
        </w:rPr>
        <w:t>借</w:t>
      </w:r>
      <w:r>
        <w:rPr>
          <w:rFonts w:ascii="宋体" w:hAnsi="宋体" w:cs="宋体"/>
          <w:sz w:val="15"/>
          <w:szCs w:val="15"/>
        </w:rPr>
        <w:t>:</w:t>
      </w:r>
      <w:r>
        <w:rPr>
          <w:rFonts w:hint="eastAsia" w:ascii="宋体" w:hAnsi="宋体" w:cs="宋体"/>
          <w:sz w:val="15"/>
          <w:szCs w:val="15"/>
        </w:rPr>
        <w:t>土地转让收益</w:t>
      </w:r>
    </w:p>
    <w:p>
      <w:pPr>
        <w:autoSpaceDN w:val="0"/>
        <w:spacing w:line="160" w:lineRule="exact"/>
        <w:rPr>
          <w:rFonts w:ascii="宋体" w:cs="宋体"/>
          <w:sz w:val="15"/>
          <w:szCs w:val="15"/>
        </w:rPr>
      </w:pPr>
      <w:r>
        <w:rPr>
          <w:rFonts w:hint="eastAsia" w:ascii="宋体" w:hAnsi="宋体" w:cs="宋体"/>
          <w:sz w:val="15"/>
          <w:szCs w:val="15"/>
        </w:rPr>
        <w:t>贷：库存现金或银行存款</w:t>
      </w:r>
    </w:p>
    <w:p>
      <w:pPr>
        <w:autoSpaceDN w:val="0"/>
        <w:spacing w:line="160" w:lineRule="exact"/>
        <w:rPr>
          <w:rFonts w:ascii="宋体" w:cs="宋体"/>
          <w:sz w:val="15"/>
          <w:szCs w:val="15"/>
        </w:rPr>
      </w:pPr>
      <w:r>
        <w:rPr>
          <w:rFonts w:hint="eastAsia" w:ascii="宋体" w:hAnsi="宋体" w:cs="宋体"/>
          <w:sz w:val="15"/>
          <w:szCs w:val="15"/>
        </w:rPr>
        <w:t>营业税</w:t>
      </w:r>
    </w:p>
    <w:p>
      <w:pPr>
        <w:autoSpaceDN w:val="0"/>
        <w:spacing w:line="160" w:lineRule="exact"/>
        <w:rPr>
          <w:rFonts w:ascii="宋体" w:cs="宋体"/>
          <w:sz w:val="15"/>
          <w:szCs w:val="15"/>
        </w:rPr>
      </w:pPr>
      <w:r>
        <w:rPr>
          <w:rFonts w:hint="eastAsia" w:ascii="宋体" w:hAnsi="宋体" w:cs="宋体"/>
          <w:sz w:val="15"/>
          <w:szCs w:val="15"/>
        </w:rPr>
        <w:t>借：土地转让收益</w:t>
      </w:r>
    </w:p>
    <w:p>
      <w:pPr>
        <w:autoSpaceDN w:val="0"/>
        <w:spacing w:line="160" w:lineRule="exact"/>
        <w:rPr>
          <w:rFonts w:ascii="宋体" w:cs="宋体"/>
          <w:sz w:val="15"/>
          <w:szCs w:val="15"/>
        </w:rPr>
      </w:pPr>
      <w:r>
        <w:rPr>
          <w:rFonts w:hint="eastAsia" w:ascii="宋体" w:hAnsi="宋体" w:cs="宋体"/>
          <w:sz w:val="15"/>
          <w:szCs w:val="15"/>
        </w:rPr>
        <w:t>贷：应交税费</w:t>
      </w:r>
    </w:p>
    <w:p>
      <w:pPr>
        <w:autoSpaceDN w:val="0"/>
        <w:spacing w:line="160" w:lineRule="exact"/>
        <w:rPr>
          <w:rFonts w:ascii="宋体" w:cs="宋体"/>
          <w:sz w:val="15"/>
          <w:szCs w:val="15"/>
        </w:rPr>
      </w:pPr>
      <w:r>
        <w:rPr>
          <w:rFonts w:hint="eastAsia" w:ascii="宋体" w:hAnsi="宋体" w:cs="宋体"/>
          <w:sz w:val="15"/>
          <w:szCs w:val="15"/>
        </w:rPr>
        <w:t>计提转让各项资产应交城市维护建设税和教育费附加核算</w:t>
      </w:r>
    </w:p>
    <w:p>
      <w:pPr>
        <w:autoSpaceDN w:val="0"/>
        <w:spacing w:line="160" w:lineRule="exact"/>
        <w:rPr>
          <w:rFonts w:ascii="宋体" w:cs="宋体"/>
          <w:sz w:val="15"/>
          <w:szCs w:val="15"/>
        </w:rPr>
      </w:pPr>
      <w:r>
        <w:rPr>
          <w:rFonts w:hint="eastAsia" w:ascii="宋体" w:hAnsi="宋体" w:cs="宋体"/>
          <w:sz w:val="15"/>
          <w:szCs w:val="15"/>
        </w:rPr>
        <w:t>借：清算损益</w:t>
      </w:r>
    </w:p>
    <w:p>
      <w:pPr>
        <w:autoSpaceDN w:val="0"/>
        <w:spacing w:line="160" w:lineRule="exact"/>
        <w:rPr>
          <w:rFonts w:ascii="宋体" w:cs="宋体"/>
          <w:sz w:val="15"/>
          <w:szCs w:val="15"/>
        </w:rPr>
      </w:pPr>
      <w:r>
        <w:rPr>
          <w:rFonts w:hint="eastAsia" w:ascii="宋体" w:hAnsi="宋体" w:cs="宋体"/>
          <w:sz w:val="15"/>
          <w:szCs w:val="15"/>
        </w:rPr>
        <w:t>贷：应交税费</w:t>
      </w:r>
    </w:p>
    <w:p>
      <w:pPr>
        <w:autoSpaceDN w:val="0"/>
        <w:spacing w:line="160" w:lineRule="exact"/>
        <w:rPr>
          <w:rFonts w:ascii="宋体" w:cs="宋体"/>
          <w:sz w:val="15"/>
          <w:szCs w:val="15"/>
        </w:rPr>
      </w:pPr>
      <w:r>
        <w:rPr>
          <w:rFonts w:hint="eastAsia" w:ascii="宋体" w:hAnsi="宋体" w:cs="宋体"/>
          <w:sz w:val="15"/>
          <w:szCs w:val="15"/>
        </w:rPr>
        <w:t>支付清算费用核算</w:t>
      </w:r>
    </w:p>
    <w:p>
      <w:pPr>
        <w:autoSpaceDN w:val="0"/>
        <w:spacing w:line="160" w:lineRule="exact"/>
        <w:rPr>
          <w:rFonts w:ascii="宋体" w:cs="宋体"/>
          <w:sz w:val="15"/>
          <w:szCs w:val="15"/>
        </w:rPr>
      </w:pPr>
      <w:r>
        <w:rPr>
          <w:rFonts w:hint="eastAsia" w:ascii="宋体" w:hAnsi="宋体" w:cs="宋体"/>
          <w:sz w:val="15"/>
          <w:szCs w:val="15"/>
        </w:rPr>
        <w:t>期间支付</w:t>
      </w:r>
    </w:p>
    <w:p>
      <w:pPr>
        <w:autoSpaceDN w:val="0"/>
        <w:spacing w:line="160" w:lineRule="exact"/>
        <w:rPr>
          <w:rFonts w:ascii="宋体" w:cs="宋体"/>
          <w:sz w:val="15"/>
          <w:szCs w:val="15"/>
        </w:rPr>
      </w:pPr>
      <w:r>
        <w:rPr>
          <w:rFonts w:hint="eastAsia" w:ascii="宋体" w:hAnsi="宋体" w:cs="宋体"/>
          <w:sz w:val="15"/>
          <w:szCs w:val="15"/>
        </w:rPr>
        <w:t>借：清算费用</w:t>
      </w:r>
    </w:p>
    <w:p>
      <w:pPr>
        <w:autoSpaceDN w:val="0"/>
        <w:spacing w:line="160" w:lineRule="exact"/>
        <w:rPr>
          <w:rFonts w:ascii="宋体" w:cs="宋体"/>
          <w:sz w:val="15"/>
          <w:szCs w:val="15"/>
        </w:rPr>
      </w:pPr>
      <w:r>
        <w:rPr>
          <w:rFonts w:hint="eastAsia" w:ascii="宋体" w:hAnsi="宋体" w:cs="宋体"/>
          <w:sz w:val="15"/>
          <w:szCs w:val="15"/>
        </w:rPr>
        <w:t>贷：库存现金、银行存款</w:t>
      </w:r>
    </w:p>
    <w:p>
      <w:pPr>
        <w:autoSpaceDN w:val="0"/>
        <w:spacing w:line="160" w:lineRule="exact"/>
        <w:rPr>
          <w:rFonts w:ascii="宋体" w:cs="宋体"/>
          <w:sz w:val="15"/>
          <w:szCs w:val="15"/>
        </w:rPr>
      </w:pPr>
      <w:r>
        <w:rPr>
          <w:rFonts w:hint="eastAsia" w:ascii="宋体" w:hAnsi="宋体" w:cs="宋体"/>
          <w:sz w:val="15"/>
          <w:szCs w:val="15"/>
        </w:rPr>
        <w:t>清算终止</w:t>
      </w:r>
    </w:p>
    <w:p>
      <w:pPr>
        <w:autoSpaceDN w:val="0"/>
        <w:spacing w:line="160" w:lineRule="exact"/>
        <w:rPr>
          <w:rFonts w:ascii="宋体" w:cs="宋体"/>
          <w:sz w:val="15"/>
          <w:szCs w:val="15"/>
        </w:rPr>
      </w:pPr>
      <w:r>
        <w:rPr>
          <w:rFonts w:hint="eastAsia" w:ascii="宋体" w:hAnsi="宋体" w:cs="宋体"/>
          <w:sz w:val="15"/>
          <w:szCs w:val="15"/>
        </w:rPr>
        <w:t>借：清算损益</w:t>
      </w:r>
    </w:p>
    <w:p>
      <w:pPr>
        <w:autoSpaceDN w:val="0"/>
        <w:spacing w:line="160" w:lineRule="exact"/>
        <w:rPr>
          <w:rFonts w:ascii="宋体" w:cs="宋体"/>
          <w:sz w:val="15"/>
          <w:szCs w:val="15"/>
        </w:rPr>
      </w:pPr>
      <w:r>
        <w:rPr>
          <w:rFonts w:hint="eastAsia" w:ascii="宋体" w:hAnsi="宋体" w:cs="宋体"/>
          <w:sz w:val="15"/>
          <w:szCs w:val="15"/>
        </w:rPr>
        <w:t>贷：清算费用</w:t>
      </w:r>
    </w:p>
    <w:p>
      <w:pPr>
        <w:autoSpaceDN w:val="0"/>
        <w:spacing w:line="160" w:lineRule="exact"/>
        <w:rPr>
          <w:rFonts w:ascii="宋体" w:cs="宋体"/>
          <w:sz w:val="15"/>
          <w:szCs w:val="15"/>
        </w:rPr>
      </w:pPr>
      <w:r>
        <w:rPr>
          <w:rFonts w:hint="eastAsia" w:ascii="宋体" w:hAnsi="宋体" w:cs="宋体"/>
          <w:sz w:val="15"/>
          <w:szCs w:val="15"/>
        </w:rPr>
        <w:t>普通清算分为非完全解散清算和完全解散清算。完全解散清算会计的核算程序一般为：</w:t>
      </w:r>
    </w:p>
    <w:p>
      <w:pPr>
        <w:autoSpaceDN w:val="0"/>
        <w:spacing w:line="160" w:lineRule="exact"/>
        <w:rPr>
          <w:rFonts w:ascii="宋体" w:cs="宋体"/>
          <w:sz w:val="15"/>
          <w:szCs w:val="15"/>
        </w:rPr>
      </w:pPr>
      <w:r>
        <w:rPr>
          <w:rFonts w:ascii="宋体" w:hAnsi="宋体" w:cs="宋体"/>
          <w:sz w:val="15"/>
          <w:szCs w:val="15"/>
        </w:rPr>
        <w:t>1</w:t>
      </w:r>
      <w:r>
        <w:rPr>
          <w:rFonts w:hint="eastAsia" w:ascii="宋体" w:hAnsi="宋体" w:cs="宋体"/>
          <w:sz w:val="15"/>
          <w:szCs w:val="15"/>
        </w:rPr>
        <w:t>，全面清查财产，编制清查后的财产盘点表和资产负债表</w:t>
      </w:r>
    </w:p>
    <w:p>
      <w:pPr>
        <w:autoSpaceDN w:val="0"/>
        <w:spacing w:line="160" w:lineRule="exact"/>
        <w:rPr>
          <w:rFonts w:ascii="宋体" w:cs="宋体"/>
          <w:sz w:val="15"/>
          <w:szCs w:val="15"/>
        </w:rPr>
      </w:pPr>
      <w:r>
        <w:rPr>
          <w:rFonts w:ascii="宋体" w:hAnsi="宋体" w:cs="宋体"/>
          <w:sz w:val="15"/>
          <w:szCs w:val="15"/>
        </w:rPr>
        <w:t>2</w:t>
      </w:r>
      <w:r>
        <w:rPr>
          <w:rFonts w:hint="eastAsia" w:ascii="宋体" w:hAnsi="宋体" w:cs="宋体"/>
          <w:sz w:val="15"/>
          <w:szCs w:val="15"/>
        </w:rPr>
        <w:t>，核算和监督财产物资的处理、债权的回收、债务的偿付以及清算费用的支付和结转</w:t>
      </w:r>
    </w:p>
    <w:p>
      <w:pPr>
        <w:autoSpaceDN w:val="0"/>
        <w:spacing w:line="160" w:lineRule="exact"/>
        <w:rPr>
          <w:rFonts w:ascii="宋体" w:cs="宋体"/>
          <w:sz w:val="15"/>
          <w:szCs w:val="15"/>
        </w:rPr>
      </w:pPr>
      <w:r>
        <w:rPr>
          <w:rFonts w:ascii="宋体" w:hAnsi="宋体" w:cs="宋体"/>
          <w:sz w:val="15"/>
          <w:szCs w:val="15"/>
        </w:rPr>
        <w:t>3</w:t>
      </w:r>
      <w:r>
        <w:rPr>
          <w:rFonts w:hint="eastAsia" w:ascii="宋体" w:hAnsi="宋体" w:cs="宋体"/>
          <w:sz w:val="15"/>
          <w:szCs w:val="15"/>
        </w:rPr>
        <w:t>，计算清算损益，编制清算损益表和清算结束日的资产负债表</w:t>
      </w:r>
    </w:p>
    <w:p>
      <w:pPr>
        <w:autoSpaceDN w:val="0"/>
        <w:spacing w:line="160" w:lineRule="exact"/>
        <w:rPr>
          <w:rFonts w:ascii="宋体" w:cs="宋体"/>
          <w:sz w:val="15"/>
          <w:szCs w:val="15"/>
        </w:rPr>
      </w:pPr>
      <w:r>
        <w:rPr>
          <w:rFonts w:ascii="宋体" w:hAnsi="宋体" w:cs="宋体"/>
          <w:sz w:val="15"/>
          <w:szCs w:val="15"/>
        </w:rPr>
        <w:t>4</w:t>
      </w:r>
      <w:r>
        <w:rPr>
          <w:rFonts w:hint="eastAsia" w:ascii="宋体" w:hAnsi="宋体" w:cs="宋体"/>
          <w:sz w:val="15"/>
          <w:szCs w:val="15"/>
        </w:rPr>
        <w:t>，归还投资各方资本，分配剩余财产结平各账户</w:t>
      </w:r>
    </w:p>
    <w:p>
      <w:pPr>
        <w:autoSpaceDN w:val="0"/>
        <w:spacing w:line="160" w:lineRule="exact"/>
        <w:rPr>
          <w:rFonts w:ascii="宋体" w:cs="宋体"/>
          <w:sz w:val="15"/>
          <w:szCs w:val="15"/>
        </w:rPr>
      </w:pPr>
    </w:p>
    <w:p>
      <w:pPr>
        <w:autoSpaceDN w:val="0"/>
        <w:spacing w:line="160" w:lineRule="exact"/>
        <w:rPr>
          <w:rFonts w:ascii="宋体" w:cs="宋体"/>
          <w:sz w:val="15"/>
          <w:szCs w:val="15"/>
        </w:rPr>
      </w:pPr>
    </w:p>
    <w:p>
      <w:pPr>
        <w:autoSpaceDN w:val="0"/>
        <w:spacing w:line="160" w:lineRule="exact"/>
        <w:rPr>
          <w:rFonts w:ascii="宋体" w:cs="宋体"/>
          <w:sz w:val="15"/>
          <w:szCs w:val="15"/>
        </w:rPr>
      </w:pPr>
    </w:p>
    <w:p>
      <w:pPr>
        <w:autoSpaceDN w:val="0"/>
        <w:spacing w:line="160" w:lineRule="exact"/>
        <w:rPr>
          <w:rFonts w:ascii="宋体" w:cs="宋体"/>
          <w:sz w:val="15"/>
          <w:szCs w:val="15"/>
        </w:rPr>
      </w:pPr>
    </w:p>
    <w:p>
      <w:pPr>
        <w:autoSpaceDN w:val="0"/>
        <w:spacing w:line="160" w:lineRule="exact"/>
        <w:rPr>
          <w:rFonts w:ascii="宋体" w:cs="宋体"/>
          <w:sz w:val="15"/>
          <w:szCs w:val="15"/>
        </w:rPr>
      </w:pPr>
    </w:p>
    <w:sectPr>
      <w:headerReference r:id="rId5" w:type="first"/>
      <w:footerReference r:id="rId8" w:type="first"/>
      <w:headerReference r:id="rId3" w:type="default"/>
      <w:footerReference r:id="rId6" w:type="default"/>
      <w:headerReference r:id="rId4" w:type="even"/>
      <w:footerReference r:id="rId7" w:type="even"/>
      <w:pgSz w:w="12240" w:h="15840"/>
      <w:pgMar w:top="340" w:right="340" w:bottom="340" w:left="340" w:header="340" w:footer="340" w:gutter="0"/>
      <w:cols w:space="168" w:num="3"/>
      <w:docGrid w:linePitch="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rPr>
        <w:rFonts w:hint="eastAsia"/>
        <w:lang w:eastAsia="zh-CN"/>
      </w:rPr>
    </w:pPr>
    <w:bookmarkStart w:id="0" w:name="_GoBack"/>
    <w:bookmarkEnd w:id="0"/>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3A1A1CC"/>
    <w:multiLevelType w:val="singleLevel"/>
    <w:tmpl w:val="53A1A1CC"/>
    <w:lvl w:ilvl="0" w:tentative="0">
      <w:start w:val="2"/>
      <w:numFmt w:val="decimal"/>
      <w:suff w:val="nothing"/>
      <w:lvlText w:val="%1、"/>
      <w:lvlJc w:val="left"/>
      <w:rPr>
        <w:rFonts w:cs="Times New Roman"/>
      </w:rPr>
    </w:lvl>
  </w:abstractNum>
  <w:abstractNum w:abstractNumId="1">
    <w:nsid w:val="53A1A454"/>
    <w:multiLevelType w:val="singleLevel"/>
    <w:tmpl w:val="53A1A454"/>
    <w:lvl w:ilvl="0" w:tentative="0">
      <w:start w:val="3"/>
      <w:numFmt w:val="decimal"/>
      <w:suff w:val="nothing"/>
      <w:lvlText w:val="%1、"/>
      <w:lvlJc w:val="left"/>
      <w:rPr>
        <w:rFonts w:cs="Times New Roman"/>
      </w:rPr>
    </w:lvl>
  </w:abstractNum>
  <w:abstractNum w:abstractNumId="2">
    <w:nsid w:val="53A1A4FB"/>
    <w:multiLevelType w:val="singleLevel"/>
    <w:tmpl w:val="53A1A4FB"/>
    <w:lvl w:ilvl="0" w:tentative="0">
      <w:start w:val="5"/>
      <w:numFmt w:val="decimal"/>
      <w:suff w:val="nothing"/>
      <w:lvlText w:val="%1、"/>
      <w:lvlJc w:val="left"/>
      <w:rPr>
        <w:rFonts w:cs="Times New Roman"/>
      </w:rPr>
    </w:lvl>
  </w:abstractNum>
  <w:abstractNum w:abstractNumId="3">
    <w:nsid w:val="53A1A5E3"/>
    <w:multiLevelType w:val="singleLevel"/>
    <w:tmpl w:val="53A1A5E3"/>
    <w:lvl w:ilvl="0" w:tentative="0">
      <w:start w:val="1"/>
      <w:numFmt w:val="decimal"/>
      <w:suff w:val="nothing"/>
      <w:lvlText w:val="%1."/>
      <w:lvlJc w:val="left"/>
      <w:rPr>
        <w:rFonts w:cs="Times New Roman"/>
      </w:rPr>
    </w:lvl>
  </w:abstractNum>
  <w:abstractNum w:abstractNumId="4">
    <w:nsid w:val="53A1A726"/>
    <w:multiLevelType w:val="singleLevel"/>
    <w:tmpl w:val="53A1A726"/>
    <w:lvl w:ilvl="0" w:tentative="0">
      <w:start w:val="2"/>
      <w:numFmt w:val="decimal"/>
      <w:suff w:val="nothing"/>
      <w:lvlText w:val="%1."/>
      <w:lvlJc w:val="left"/>
      <w:rPr>
        <w:rFonts w:cs="Times New Roman"/>
      </w:rPr>
    </w:lvl>
  </w:abstractNum>
  <w:abstractNum w:abstractNumId="5">
    <w:nsid w:val="53A1A845"/>
    <w:multiLevelType w:val="singleLevel"/>
    <w:tmpl w:val="53A1A845"/>
    <w:lvl w:ilvl="0" w:tentative="0">
      <w:start w:val="4"/>
      <w:numFmt w:val="decimal"/>
      <w:suff w:val="nothing"/>
      <w:lvlText w:val="%1."/>
      <w:lvlJc w:val="left"/>
      <w:rPr>
        <w:rFonts w:cs="Times New Roman"/>
      </w:rPr>
    </w:lvl>
  </w:abstractNum>
  <w:num w:numId="1">
    <w:abstractNumId w:val="0"/>
  </w:num>
  <w:num w:numId="2">
    <w:abstractNumId w:val="1"/>
  </w:num>
  <w:num w:numId="3">
    <w:abstractNumId w:val="2"/>
  </w:num>
  <w:num w:numId="4">
    <w:abstractNumId w:val="3"/>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isplayHorizontalDrawingGridEvery w:val="0"/>
  <w:displayVerticalDrawingGridEvery w:val="0"/>
  <w:doNotUseMarginsForDrawingGridOrigin w:val="1"/>
  <w:drawingGridHorizontalOrigin w:val="0"/>
  <w:drawingGridVerticalOrigin w:val="0"/>
  <w:doNotShadeFormData w:val="1"/>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D437F"/>
    <w:rsid w:val="0004112B"/>
    <w:rsid w:val="0006312D"/>
    <w:rsid w:val="00101B4B"/>
    <w:rsid w:val="00192E8C"/>
    <w:rsid w:val="001B277F"/>
    <w:rsid w:val="001B40DE"/>
    <w:rsid w:val="0024234E"/>
    <w:rsid w:val="002B21A3"/>
    <w:rsid w:val="002E1A62"/>
    <w:rsid w:val="0034371E"/>
    <w:rsid w:val="00361DED"/>
    <w:rsid w:val="00371780"/>
    <w:rsid w:val="0037297D"/>
    <w:rsid w:val="00464FC0"/>
    <w:rsid w:val="004A3F4A"/>
    <w:rsid w:val="00515C4C"/>
    <w:rsid w:val="005D437F"/>
    <w:rsid w:val="006B16C6"/>
    <w:rsid w:val="009851BC"/>
    <w:rsid w:val="00A66D9D"/>
    <w:rsid w:val="00A836AD"/>
    <w:rsid w:val="00BF404C"/>
    <w:rsid w:val="00C66BBB"/>
    <w:rsid w:val="00D152AA"/>
    <w:rsid w:val="00D40DB4"/>
    <w:rsid w:val="00DA35FC"/>
    <w:rsid w:val="00FD1071"/>
    <w:rsid w:val="0789491A"/>
    <w:rsid w:val="55954591"/>
    <w:rsid w:val="6D981B5B"/>
    <w:rsid w:val="6F5528C6"/>
    <w:rsid w:val="737A50E5"/>
    <w:rsid w:val="7F1239F2"/>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nhideWhenUsed="0" w:uiPriority="0" w:semiHidden="0" w:name="Table Simple 1" w:locked="1"/>
    <w:lsdException w:unhideWhenUsed="0" w:uiPriority="0" w:semiHidden="0" w:name="Table Simple 2" w:locked="1"/>
    <w:lsdException w:unhideWhenUsed="0" w:uiPriority="0" w:semiHidden="0" w:name="Table Simple 3" w:locked="1"/>
    <w:lsdException w:unhideWhenUsed="0" w:uiPriority="0" w:semiHidden="0" w:name="Table Classic 1" w:locked="1"/>
    <w:lsdException w:unhideWhenUsed="0" w:uiPriority="0" w:semiHidden="0" w:name="Table Classic 2" w:locked="1"/>
    <w:lsdException w:unhideWhenUsed="0" w:uiPriority="0" w:semiHidden="0" w:name="Table Classic 3" w:locked="1"/>
    <w:lsdException w:unhideWhenUsed="0" w:uiPriority="0" w:semiHidden="0" w:name="Table Classic 4" w:locked="1"/>
    <w:lsdException w:unhideWhenUsed="0" w:uiPriority="0" w:semiHidden="0" w:name="Table Colorful 1" w:locked="1"/>
    <w:lsdException w:unhideWhenUsed="0" w:uiPriority="0" w:semiHidden="0" w:name="Table Colorful 2" w:locked="1"/>
    <w:lsdException w:unhideWhenUsed="0" w:uiPriority="0" w:semiHidden="0" w:name="Table Colorful 3" w:locked="1"/>
    <w:lsdException w:unhideWhenUsed="0" w:uiPriority="0" w:semiHidden="0" w:name="Table Columns 1" w:locked="1"/>
    <w:lsdException w:unhideWhenUsed="0" w:uiPriority="0" w:semiHidden="0" w:name="Table Columns 2" w:locked="1"/>
    <w:lsdException w:unhideWhenUsed="0" w:uiPriority="0" w:semiHidden="0" w:name="Table Columns 3" w:locked="1"/>
    <w:lsdException w:unhideWhenUsed="0" w:uiPriority="0" w:semiHidden="0" w:name="Table Columns 4" w:locked="1"/>
    <w:lsdException w:unhideWhenUsed="0" w:uiPriority="0" w:semiHidden="0" w:name="Table Columns 5" w:locked="1"/>
    <w:lsdException w:unhideWhenUsed="0" w:uiPriority="0" w:semiHidden="0" w:name="Table Grid 1" w:locked="1"/>
    <w:lsdException w:unhideWhenUsed="0" w:uiPriority="0" w:semiHidden="0" w:name="Table Grid 2" w:locked="1"/>
    <w:lsdException w:unhideWhenUsed="0" w:uiPriority="0" w:semiHidden="0" w:name="Table Grid 3" w:locked="1"/>
    <w:lsdException w:unhideWhenUsed="0" w:uiPriority="0" w:semiHidden="0" w:name="Table Grid 4" w:locked="1"/>
    <w:lsdException w:unhideWhenUsed="0" w:uiPriority="0" w:semiHidden="0" w:name="Table Grid 5" w:locked="1"/>
    <w:lsdException w:unhideWhenUsed="0" w:uiPriority="0" w:semiHidden="0" w:name="Table Grid 6" w:locked="1"/>
    <w:lsdException w:unhideWhenUsed="0" w:uiPriority="0" w:semiHidden="0" w:name="Table Grid 7" w:locked="1"/>
    <w:lsdException w:unhideWhenUsed="0" w:uiPriority="0" w:semiHidden="0" w:name="Table Grid 8" w:locked="1"/>
    <w:lsdException w:unhideWhenUsed="0" w:uiPriority="0" w:semiHidden="0" w:name="Table List 1" w:locked="1"/>
    <w:lsdException w:unhideWhenUsed="0" w:uiPriority="0" w:semiHidden="0" w:name="Table List 2" w:locked="1"/>
    <w:lsdException w:unhideWhenUsed="0" w:uiPriority="0" w:semiHidden="0" w:name="Table List 3" w:locked="1"/>
    <w:lsdException w:unhideWhenUsed="0" w:uiPriority="0" w:semiHidden="0" w:name="Table List 4" w:locked="1"/>
    <w:lsdException w:unhideWhenUsed="0" w:uiPriority="0" w:semiHidden="0" w:name="Table List 5" w:locked="1"/>
    <w:lsdException w:unhideWhenUsed="0" w:uiPriority="0" w:semiHidden="0" w:name="Table List 6" w:locked="1"/>
    <w:lsdException w:unhideWhenUsed="0" w:uiPriority="0" w:semiHidden="0" w:name="Table List 7" w:locked="1"/>
    <w:lsdException w:unhideWhenUsed="0" w:uiPriority="0" w:semiHidden="0" w:name="Table List 8" w:locked="1"/>
    <w:lsdException w:unhideWhenUsed="0" w:uiPriority="0" w:semiHidden="0" w:name="Table 3D effects 1" w:locked="1"/>
    <w:lsdException w:unhideWhenUsed="0" w:uiPriority="0" w:semiHidden="0" w:name="Table 3D effects 2" w:locked="1"/>
    <w:lsdException w:unhideWhenUsed="0" w:uiPriority="0" w:semiHidden="0" w:name="Table 3D effects 3" w:locked="1"/>
    <w:lsdException w:unhideWhenUsed="0" w:uiPriority="0" w:semiHidden="0" w:name="Table Contemporary" w:locked="1"/>
    <w:lsdException w:unhideWhenUsed="0" w:uiPriority="0" w:semiHidden="0" w:name="Table Elegant" w:locked="1"/>
    <w:lsdException w:unhideWhenUsed="0" w:uiPriority="0" w:semiHidden="0" w:name="Table Professional" w:locked="1"/>
    <w:lsdException w:unhideWhenUsed="0" w:uiPriority="0" w:semiHidden="0" w:name="Table Subtle 1" w:locked="1"/>
    <w:lsdException w:unhideWhenUsed="0" w:uiPriority="0" w:semiHidden="0" w:name="Table Subtle 2" w:locked="1"/>
    <w:lsdException w:unhideWhenUsed="0" w:uiPriority="0" w:semiHidden="0" w:name="Table Web 1" w:locked="1"/>
    <w:lsdException w:unhideWhenUsed="0" w:uiPriority="0" w:semiHidden="0" w:name="Table Web 2" w:locked="1"/>
    <w:lsdException w:unhideWhenUsed="0" w:uiPriority="0" w:semiHidden="0" w:name="Table Web 3" w:locked="1"/>
    <w:lsdException w:uiPriority="99" w:name="Balloon Text"/>
    <w:lsdException w:unhideWhenUsed="0" w:uiPriority="0" w:semiHidden="0" w:name="Table Grid" w:locked="1"/>
    <w:lsdException w:unhideWhenUsed="0" w:uiPriority="0" w:semiHidden="0"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ascii="Times New Roman" w:hAnsi="Times New Roman" w:eastAsia="宋体" w:cs="Times New Roman"/>
      <w:kern w:val="2"/>
      <w:sz w:val="21"/>
      <w:szCs w:val="20"/>
      <w:lang w:val="en-US" w:eastAsia="zh-CN" w:bidi="ar-SA"/>
    </w:rPr>
  </w:style>
  <w:style w:type="character" w:default="1" w:styleId="4">
    <w:name w:val="Default Paragraph Font"/>
    <w:unhideWhenUsed/>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9"/>
    <w:qFormat/>
    <w:uiPriority w:val="99"/>
    <w:pPr>
      <w:tabs>
        <w:tab w:val="center" w:pos="4153"/>
        <w:tab w:val="right" w:pos="8306"/>
      </w:tabs>
      <w:snapToGrid w:val="0"/>
      <w:jc w:val="left"/>
    </w:pPr>
    <w:rPr>
      <w:sz w:val="18"/>
      <w:szCs w:val="18"/>
    </w:rPr>
  </w:style>
  <w:style w:type="paragraph" w:styleId="3">
    <w:name w:val="header"/>
    <w:basedOn w:val="1"/>
    <w:link w:val="8"/>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脚 Char"/>
    <w:basedOn w:val="4"/>
    <w:link w:val="2"/>
    <w:semiHidden/>
    <w:qFormat/>
    <w:locked/>
    <w:uiPriority w:val="99"/>
    <w:rPr>
      <w:rFonts w:cs="Times New Roman"/>
      <w:sz w:val="18"/>
      <w:szCs w:val="18"/>
    </w:rPr>
  </w:style>
  <w:style w:type="character" w:customStyle="1" w:styleId="7">
    <w:name w:val="页眉 Char"/>
    <w:basedOn w:val="4"/>
    <w:link w:val="3"/>
    <w:semiHidden/>
    <w:qFormat/>
    <w:locked/>
    <w:uiPriority w:val="99"/>
    <w:rPr>
      <w:rFonts w:cs="Times New Roman"/>
      <w:sz w:val="18"/>
      <w:szCs w:val="18"/>
    </w:rPr>
  </w:style>
  <w:style w:type="character" w:customStyle="1" w:styleId="8">
    <w:name w:val=" Char Char1"/>
    <w:basedOn w:val="4"/>
    <w:link w:val="3"/>
    <w:semiHidden/>
    <w:qFormat/>
    <w:uiPriority w:val="99"/>
    <w:rPr>
      <w:rFonts w:ascii="Calibri" w:hAnsi="Calibri" w:eastAsia="宋体" w:cs="Times New Roman"/>
      <w:sz w:val="18"/>
      <w:szCs w:val="18"/>
    </w:rPr>
  </w:style>
  <w:style w:type="character" w:customStyle="1" w:styleId="9">
    <w:name w:val=" Char Char"/>
    <w:basedOn w:val="4"/>
    <w:link w:val="2"/>
    <w:semiHidden/>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25887</Words>
  <Characters>27083</Characters>
  <Lines>199</Lines>
  <Paragraphs>56</Paragraphs>
  <ScaleCrop>false</ScaleCrop>
  <LinksUpToDate>false</LinksUpToDate>
  <CharactersWithSpaces>27442</CharactersWithSpaces>
  <Application>WPS Office_10.1.0.6554_F1E327BC-269C-435d-A152-05C5408002CA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客服QQ11014331</cp:category>
  <dcterms:created xsi:type="dcterms:W3CDTF">2014-06-18T11:59:00Z</dcterms:created>
  <dc:creator>淘宝店铺：考试利剑https://shop107631176.taobao.com/</dc:creator>
  <dc:description>版权归淘宝店铺考试利剑所有，禁止他人一切商业用途！</dc:description>
  <cp:keywords>真题 答案 考试真题 淘宝店铺考试利剑</cp:keywords>
  <cp:lastModifiedBy>Administrator</cp:lastModifiedBy>
  <dcterms:modified xsi:type="dcterms:W3CDTF">2017-06-26T02:45:43Z</dcterms:modified>
  <dc:subject>真题系列</dc:subject>
  <dc:title>历年考试真题及答案汇编</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2052-10.1.0.6554</vt:lpwstr>
  </property>
</Properties>
</file>