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实用法律知识课程考核重点内容</w:t>
      </w:r>
    </w:p>
    <w:p>
      <w:pPr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rPr>
          <w:rFonts w:hint="eastAsia" w:ascii="宋体" w:hAnsi="宋体"/>
          <w:color w:val="000000"/>
          <w:sz w:val="32"/>
          <w:szCs w:val="32"/>
        </w:rPr>
      </w:pP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1.</w:t>
      </w:r>
      <w:r>
        <w:rPr>
          <w:rFonts w:hint="eastAsia" w:ascii="宋体" w:hAnsi="宋体"/>
          <w:color w:val="000000"/>
          <w:sz w:val="32"/>
          <w:szCs w:val="32"/>
        </w:rPr>
        <w:t>第一章：宪法与村民自治法的基本规定</w:t>
      </w:r>
    </w:p>
    <w:p>
      <w:pPr>
        <w:numPr>
          <w:numId w:val="0"/>
        </w:numPr>
        <w:spacing w:line="360" w:lineRule="auto"/>
        <w:jc w:val="both"/>
        <w:rPr>
          <w:rFonts w:hint="eastAsia" w:ascii="宋体" w:hAnsi="宋体"/>
          <w:color w:val="000000"/>
          <w:sz w:val="32"/>
          <w:szCs w:val="32"/>
          <w:lang w:eastAsia="zh-CN"/>
        </w:rPr>
      </w:pPr>
      <w:r>
        <w:rPr>
          <w:rFonts w:hint="eastAsia" w:ascii="宋体" w:hAnsi="宋体"/>
          <w:color w:val="000000"/>
          <w:sz w:val="32"/>
          <w:szCs w:val="32"/>
        </w:rPr>
        <w:t>宪法的地位，作用和基本内容，公民权利与义务</w: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，</w:t>
      </w:r>
      <w:r>
        <w:rPr>
          <w:rFonts w:hint="eastAsia" w:ascii="宋体" w:hAnsi="宋体"/>
          <w:color w:val="000000"/>
          <w:sz w:val="32"/>
          <w:szCs w:val="32"/>
        </w:rPr>
        <w:t>村民自治法基本内容</w: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。</w:t>
      </w:r>
    </w:p>
    <w:p>
      <w:pPr>
        <w:numPr>
          <w:numId w:val="0"/>
        </w:numPr>
        <w:spacing w:line="360" w:lineRule="auto"/>
        <w:jc w:val="both"/>
        <w:rPr>
          <w:rFonts w:hint="eastAsia" w:ascii="宋体" w:hAnsi="宋体"/>
          <w:color w:val="000000"/>
          <w:sz w:val="32"/>
          <w:szCs w:val="32"/>
        </w:rPr>
      </w:pP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2.</w:t>
      </w:r>
      <w:r>
        <w:rPr>
          <w:rFonts w:hint="eastAsia" w:ascii="宋体" w:hAnsi="宋体"/>
          <w:color w:val="000000"/>
          <w:sz w:val="32"/>
          <w:szCs w:val="32"/>
        </w:rPr>
        <w:t>第二章：犯罪及其法律后果</w:t>
      </w:r>
    </w:p>
    <w:p>
      <w:pPr>
        <w:numPr>
          <w:numId w:val="0"/>
        </w:numPr>
        <w:spacing w:line="360" w:lineRule="auto"/>
        <w:jc w:val="both"/>
        <w:rPr>
          <w:rFonts w:hint="eastAsia" w:ascii="宋体" w:hAnsi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color w:val="000000"/>
          <w:kern w:val="0"/>
          <w:sz w:val="32"/>
          <w:szCs w:val="32"/>
        </w:rPr>
        <w:t>犯罪的概念、构成要件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eastAsia="zh-CN"/>
        </w:rPr>
        <w:t>，罪名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和刑罚的类型</w:t>
      </w:r>
    </w:p>
    <w:p>
      <w:pPr>
        <w:numPr>
          <w:numId w:val="0"/>
        </w:numPr>
        <w:spacing w:line="360" w:lineRule="auto"/>
        <w:jc w:val="both"/>
        <w:rPr>
          <w:rFonts w:hint="eastAsia" w:ascii="宋体" w:hAnsi="宋体"/>
          <w:color w:val="000000"/>
          <w:sz w:val="32"/>
          <w:szCs w:val="32"/>
        </w:rPr>
      </w:pP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3.</w:t>
      </w:r>
      <w:r>
        <w:rPr>
          <w:rFonts w:hint="eastAsia" w:ascii="宋体" w:hAnsi="宋体"/>
          <w:color w:val="000000"/>
          <w:sz w:val="32"/>
          <w:szCs w:val="32"/>
        </w:rPr>
        <w:t>第三章：民事活动的基本规定</w:t>
      </w:r>
    </w:p>
    <w:p>
      <w:pPr>
        <w:numPr>
          <w:numId w:val="0"/>
        </w:numPr>
        <w:spacing w:line="360" w:lineRule="auto"/>
        <w:jc w:val="both"/>
        <w:rPr>
          <w:rFonts w:hint="eastAsia" w:ascii="宋体" w:hAnsi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color w:val="000000"/>
          <w:kern w:val="0"/>
          <w:sz w:val="32"/>
          <w:szCs w:val="32"/>
        </w:rPr>
        <w:t>民法的基本原则、民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eastAsia="zh-CN"/>
        </w:rPr>
        <w:t>法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主体、民事行为</w:t>
      </w:r>
    </w:p>
    <w:p>
      <w:pPr>
        <w:numPr>
          <w:numId w:val="0"/>
        </w:numPr>
        <w:spacing w:line="360" w:lineRule="auto"/>
        <w:jc w:val="both"/>
        <w:rPr>
          <w:rFonts w:hint="eastAsia" w:ascii="宋体" w:hAnsi="宋体"/>
          <w:color w:val="000000"/>
          <w:sz w:val="32"/>
          <w:szCs w:val="32"/>
        </w:rPr>
      </w:pP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4.</w:t>
      </w:r>
      <w:r>
        <w:rPr>
          <w:rFonts w:hint="eastAsia" w:ascii="宋体" w:hAnsi="宋体"/>
          <w:color w:val="000000"/>
          <w:sz w:val="32"/>
          <w:szCs w:val="32"/>
        </w:rPr>
        <w:t>第四章：民法对人身权利和财产权利的保护</w:t>
      </w:r>
    </w:p>
    <w:p>
      <w:pPr>
        <w:numPr>
          <w:numId w:val="0"/>
        </w:numPr>
        <w:spacing w:line="360" w:lineRule="auto"/>
        <w:jc w:val="both"/>
        <w:rPr>
          <w:rFonts w:hint="eastAsia" w:ascii="宋体" w:hAnsi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color w:val="000000"/>
          <w:kern w:val="0"/>
          <w:sz w:val="32"/>
          <w:szCs w:val="32"/>
        </w:rPr>
        <w:t>人身权利和财产权利的概念</w:t>
      </w:r>
    </w:p>
    <w:p>
      <w:pPr>
        <w:numPr>
          <w:numId w:val="0"/>
        </w:numPr>
        <w:spacing w:line="360" w:lineRule="auto"/>
        <w:jc w:val="both"/>
        <w:rPr>
          <w:rFonts w:hint="eastAsia" w:ascii="宋体" w:hAnsi="宋体"/>
          <w:color w:val="000000"/>
          <w:sz w:val="32"/>
          <w:szCs w:val="32"/>
        </w:rPr>
      </w:pP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5.</w:t>
      </w:r>
      <w:r>
        <w:rPr>
          <w:rFonts w:hint="eastAsia" w:ascii="宋体" w:hAnsi="宋体"/>
          <w:color w:val="000000"/>
          <w:sz w:val="32"/>
          <w:szCs w:val="32"/>
        </w:rPr>
        <w:t>第九章：如何打官司</w:t>
      </w:r>
    </w:p>
    <w:p>
      <w:pPr>
        <w:numPr>
          <w:numId w:val="0"/>
        </w:numPr>
        <w:spacing w:line="360" w:lineRule="auto"/>
        <w:jc w:val="both"/>
        <w:rPr>
          <w:rFonts w:hint="eastAsia" w:ascii="宋体" w:hAnsi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color w:val="000000"/>
          <w:kern w:val="0"/>
          <w:sz w:val="32"/>
          <w:szCs w:val="32"/>
        </w:rPr>
        <w:t>刑事、民事、行政诉讼程序</w:t>
      </w:r>
    </w:p>
    <w:p>
      <w:pPr>
        <w:numPr>
          <w:numId w:val="0"/>
        </w:numPr>
        <w:spacing w:line="360" w:lineRule="auto"/>
        <w:jc w:val="both"/>
        <w:rPr>
          <w:rFonts w:hint="eastAsia" w:ascii="宋体" w:hAnsi="宋体"/>
          <w:color w:val="000000"/>
          <w:sz w:val="32"/>
          <w:szCs w:val="32"/>
        </w:rPr>
      </w:pP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6.</w:t>
      </w:r>
      <w:r>
        <w:rPr>
          <w:rFonts w:hint="eastAsia" w:ascii="宋体" w:hAnsi="宋体"/>
          <w:color w:val="000000"/>
          <w:sz w:val="32"/>
          <w:szCs w:val="32"/>
        </w:rPr>
        <w:t>第十章：农民专业合作社</w:t>
      </w:r>
    </w:p>
    <w:p>
      <w:pPr>
        <w:numPr>
          <w:numId w:val="0"/>
        </w:numPr>
        <w:spacing w:line="360" w:lineRule="auto"/>
        <w:jc w:val="both"/>
        <w:rPr>
          <w:rFonts w:hint="eastAsia" w:ascii="宋体" w:hAnsi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color w:val="000000"/>
          <w:kern w:val="0"/>
          <w:sz w:val="32"/>
          <w:szCs w:val="32"/>
        </w:rPr>
        <w:t>农民合作社的设立、登记、解散、清算的内容</w:t>
      </w:r>
    </w:p>
    <w:p>
      <w:pPr>
        <w:numPr>
          <w:numId w:val="0"/>
        </w:numPr>
        <w:spacing w:line="360" w:lineRule="auto"/>
        <w:jc w:val="both"/>
        <w:rPr>
          <w:rFonts w:hint="eastAsia" w:ascii="宋体" w:hAnsi="宋体"/>
          <w:color w:val="000000"/>
          <w:sz w:val="32"/>
          <w:szCs w:val="32"/>
        </w:rPr>
      </w:pP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7.</w:t>
      </w:r>
      <w:r>
        <w:rPr>
          <w:rFonts w:hint="eastAsia" w:ascii="宋体" w:hAnsi="宋体"/>
          <w:color w:val="000000"/>
          <w:sz w:val="32"/>
          <w:szCs w:val="32"/>
        </w:rPr>
        <w:t>第十一章：农村土地承包法律制度及其纠纷仲裁</w:t>
      </w:r>
    </w:p>
    <w:p>
      <w:pPr>
        <w:numPr>
          <w:numId w:val="0"/>
        </w:numPr>
        <w:spacing w:line="360" w:lineRule="auto"/>
        <w:jc w:val="both"/>
        <w:rPr>
          <w:rFonts w:hint="eastAsia" w:ascii="宋体" w:hAnsi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color w:val="000000"/>
          <w:kern w:val="0"/>
          <w:sz w:val="32"/>
          <w:szCs w:val="32"/>
        </w:rPr>
        <w:t>农村土地所有权、使用权、入地承包制定及流转程序，宅基地政策法规</w:t>
      </w:r>
    </w:p>
    <w:p>
      <w:pPr>
        <w:numPr>
          <w:numId w:val="0"/>
        </w:numPr>
        <w:spacing w:line="360" w:lineRule="auto"/>
        <w:jc w:val="both"/>
        <w:rPr>
          <w:rFonts w:hint="eastAsia" w:ascii="宋体" w:hAnsi="宋体" w:cs="宋体"/>
          <w:color w:val="000000"/>
          <w:kern w:val="0"/>
          <w:szCs w:val="21"/>
        </w:rPr>
      </w:pPr>
    </w:p>
    <w:p>
      <w:pPr>
        <w:numPr>
          <w:numId w:val="0"/>
        </w:numPr>
        <w:spacing w:line="360" w:lineRule="auto"/>
        <w:jc w:val="both"/>
        <w:rPr>
          <w:rFonts w:hint="eastAsia" w:ascii="宋体" w:hAnsi="宋体" w:cs="宋体"/>
          <w:color w:val="000000"/>
          <w:kern w:val="0"/>
          <w:szCs w:val="21"/>
        </w:rPr>
      </w:pPr>
      <w:bookmarkStart w:id="0" w:name="_GoBack"/>
      <w:bookmarkEnd w:id="0"/>
    </w:p>
    <w:p>
      <w:pPr>
        <w:numPr>
          <w:numId w:val="0"/>
        </w:numPr>
        <w:spacing w:line="360" w:lineRule="auto"/>
        <w:jc w:val="both"/>
        <w:rPr>
          <w:rFonts w:hint="eastAsia" w:ascii="宋体" w:hAnsi="宋体" w:cs="宋体"/>
          <w:color w:val="000000"/>
          <w:kern w:val="0"/>
          <w:szCs w:val="21"/>
          <w:lang w:val="en-US" w:eastAsia="zh-CN"/>
        </w:rPr>
      </w:pPr>
    </w:p>
    <w:p>
      <w:pPr>
        <w:numPr>
          <w:numId w:val="0"/>
        </w:numPr>
        <w:spacing w:line="360" w:lineRule="auto"/>
        <w:jc w:val="both"/>
        <w:rPr>
          <w:rFonts w:hint="eastAsia" w:ascii="宋体" w:hAnsi="宋体" w:cs="宋体"/>
          <w:color w:val="000000"/>
          <w:kern w:val="0"/>
          <w:szCs w:val="21"/>
          <w:lang w:val="en-US" w:eastAsia="zh-CN"/>
        </w:rPr>
      </w:pPr>
    </w:p>
    <w:p>
      <w:pPr>
        <w:numPr>
          <w:numId w:val="0"/>
        </w:numPr>
        <w:spacing w:line="360" w:lineRule="auto"/>
        <w:jc w:val="both"/>
        <w:rPr>
          <w:rFonts w:hint="eastAsia" w:ascii="宋体" w:hAnsi="宋体" w:cs="宋体"/>
          <w:color w:val="000000"/>
          <w:kern w:val="0"/>
          <w:szCs w:val="21"/>
          <w:lang w:val="en-US" w:eastAsia="zh-CN"/>
        </w:rPr>
      </w:pPr>
    </w:p>
    <w:p>
      <w:pPr>
        <w:numPr>
          <w:numId w:val="0"/>
        </w:numPr>
        <w:spacing w:line="360" w:lineRule="auto"/>
        <w:jc w:val="both"/>
        <w:rPr>
          <w:rFonts w:hint="eastAsia" w:ascii="宋体" w:hAnsi="宋体" w:cs="宋体"/>
          <w:color w:val="000000"/>
          <w:kern w:val="0"/>
          <w:szCs w:val="21"/>
          <w:lang w:val="en-US" w:eastAsia="zh-CN"/>
        </w:rPr>
      </w:pPr>
    </w:p>
    <w:p>
      <w:pPr>
        <w:numPr>
          <w:numId w:val="0"/>
        </w:numPr>
        <w:spacing w:line="360" w:lineRule="auto"/>
        <w:jc w:val="both"/>
        <w:rPr>
          <w:rFonts w:hint="eastAsia" w:ascii="宋体" w:hAnsi="宋体" w:cs="宋体"/>
          <w:color w:val="000000"/>
          <w:kern w:val="0"/>
          <w:szCs w:val="21"/>
          <w:lang w:val="en-US" w:eastAsia="zh-CN"/>
        </w:rPr>
      </w:pPr>
    </w:p>
    <w:p>
      <w:pPr>
        <w:numPr>
          <w:numId w:val="0"/>
        </w:numPr>
        <w:spacing w:line="360" w:lineRule="auto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实用法律知识课程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考试要求</w:t>
      </w:r>
    </w:p>
    <w:p>
      <w:pPr>
        <w:numPr>
          <w:numId w:val="0"/>
        </w:numPr>
        <w:spacing w:line="360" w:lineRule="auto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spacing w:line="360" w:lineRule="auto"/>
        <w:jc w:val="both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/>
        </w:rPr>
        <w:t>统一闭卷考试，卷面分值100分。学生成绩按平时成绩30%，期末考试卷面成绩70%计总成绩。</w:t>
      </w:r>
    </w:p>
    <w:p>
      <w:pPr>
        <w:numPr>
          <w:ilvl w:val="0"/>
          <w:numId w:val="1"/>
        </w:numPr>
        <w:spacing w:line="360" w:lineRule="auto"/>
        <w:jc w:val="both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/>
        </w:rPr>
        <w:t>客观题占60%，主观题占40%</w:t>
      </w:r>
    </w:p>
    <w:p>
      <w:pPr>
        <w:numPr>
          <w:ilvl w:val="0"/>
          <w:numId w:val="1"/>
        </w:numPr>
        <w:spacing w:line="360" w:lineRule="auto"/>
        <w:jc w:val="both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/>
        </w:rPr>
        <w:t>题型包含单选题、多选题、名词解释、辨析题和案例分析。</w:t>
      </w:r>
    </w:p>
    <w:p>
      <w:pPr>
        <w:numPr>
          <w:ilvl w:val="0"/>
          <w:numId w:val="1"/>
        </w:numPr>
        <w:spacing w:line="360" w:lineRule="auto"/>
        <w:jc w:val="both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/>
        </w:rPr>
        <w:t>考试时间120分钟。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76AB91C"/>
    <w:multiLevelType w:val="singleLevel"/>
    <w:tmpl w:val="D76AB91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A153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油酥啦</cp:lastModifiedBy>
  <dcterms:modified xsi:type="dcterms:W3CDTF">2020-06-25T14:26:55Z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